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ook w:val="0000" w:firstRow="0" w:lastRow="0" w:firstColumn="0" w:lastColumn="0" w:noHBand="0" w:noVBand="0"/>
      </w:tblPr>
      <w:tblGrid>
        <w:gridCol w:w="1696"/>
        <w:gridCol w:w="7201"/>
      </w:tblGrid>
      <w:tr w:rsidR="0007222B" w:rsidRPr="00A65091" w:rsidTr="0007222B">
        <w:tc>
          <w:tcPr>
            <w:tcW w:w="1686" w:type="dxa"/>
            <w:vAlign w:val="center"/>
          </w:tcPr>
          <w:p w:rsidR="0007222B" w:rsidRDefault="0007222B" w:rsidP="0007222B">
            <w:pPr>
              <w:jc w:val="both"/>
              <w:rPr>
                <w:rFonts w:ascii="Garamond" w:hAnsi="Garamond"/>
                <w:lang w:eastAsia="en-US"/>
              </w:rPr>
            </w:pPr>
            <w:r>
              <w:rPr>
                <w:rFonts w:ascii="Garamond" w:hAnsi="Garamond"/>
                <w:b/>
                <w:noProof/>
              </w:rPr>
              <w:drawing>
                <wp:inline distT="0" distB="0" distL="0" distR="0">
                  <wp:extent cx="930275" cy="953770"/>
                  <wp:effectExtent l="0" t="0" r="9525" b="11430"/>
                  <wp:docPr id="1" name="Picture 1" descr="Auth Logo 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 Logo 100x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953770"/>
                          </a:xfrm>
                          <a:prstGeom prst="rect">
                            <a:avLst/>
                          </a:prstGeom>
                          <a:noFill/>
                          <a:ln>
                            <a:noFill/>
                          </a:ln>
                        </pic:spPr>
                      </pic:pic>
                    </a:graphicData>
                  </a:graphic>
                </wp:inline>
              </w:drawing>
            </w:r>
          </w:p>
        </w:tc>
        <w:tc>
          <w:tcPr>
            <w:tcW w:w="7211" w:type="dxa"/>
          </w:tcPr>
          <w:p w:rsidR="0007222B" w:rsidRDefault="0007222B" w:rsidP="0007222B">
            <w:pPr>
              <w:ind w:right="-285"/>
              <w:jc w:val="both"/>
              <w:rPr>
                <w:rFonts w:ascii="Garamond" w:hAnsi="Garamond"/>
                <w:b/>
                <w:color w:val="000000"/>
                <w:lang w:val="fr-FR" w:eastAsia="en-US"/>
              </w:rPr>
            </w:pPr>
          </w:p>
          <w:p w:rsidR="0007222B" w:rsidRDefault="0007222B" w:rsidP="0007222B">
            <w:pPr>
              <w:jc w:val="center"/>
              <w:rPr>
                <w:b/>
                <w:lang w:val="en-US"/>
              </w:rPr>
            </w:pPr>
          </w:p>
          <w:p w:rsidR="0007222B" w:rsidRPr="007F5A5F" w:rsidRDefault="0007222B" w:rsidP="0007222B">
            <w:pPr>
              <w:jc w:val="center"/>
              <w:rPr>
                <w:b/>
                <w:lang w:val="en-US"/>
              </w:rPr>
            </w:pPr>
            <w:r w:rsidRPr="007F5A5F">
              <w:rPr>
                <w:b/>
                <w:lang w:val="en-US"/>
              </w:rPr>
              <w:t>Aristotle University of Thessaloniki</w:t>
            </w:r>
          </w:p>
          <w:p w:rsidR="0007222B" w:rsidRDefault="0007222B" w:rsidP="0007222B">
            <w:pPr>
              <w:jc w:val="center"/>
              <w:rPr>
                <w:b/>
                <w:lang w:val="en-US"/>
              </w:rPr>
            </w:pPr>
            <w:r w:rsidRPr="007F5A5F">
              <w:rPr>
                <w:b/>
                <w:lang w:val="en-US"/>
              </w:rPr>
              <w:t>Faculty of Law</w:t>
            </w:r>
          </w:p>
          <w:p w:rsidR="0007222B" w:rsidRPr="0007222B" w:rsidRDefault="0007222B" w:rsidP="0007222B">
            <w:pPr>
              <w:rPr>
                <w:b/>
                <w:lang w:val="en-US"/>
              </w:rPr>
            </w:pPr>
          </w:p>
        </w:tc>
      </w:tr>
    </w:tbl>
    <w:p w:rsidR="00E95BFF" w:rsidRPr="00384F2D" w:rsidRDefault="00E95BFF">
      <w:pPr>
        <w:rPr>
          <w:lang w:val="en-US"/>
        </w:rPr>
      </w:pPr>
    </w:p>
    <w:p w:rsidR="0007222B" w:rsidRPr="00384F2D" w:rsidRDefault="0007222B">
      <w:pPr>
        <w:rPr>
          <w:lang w:val="en-US"/>
        </w:rPr>
      </w:pPr>
    </w:p>
    <w:p w:rsidR="0007222B" w:rsidRPr="00384F2D" w:rsidRDefault="0007222B" w:rsidP="0007222B">
      <w:pPr>
        <w:spacing w:line="360" w:lineRule="auto"/>
        <w:jc w:val="center"/>
        <w:rPr>
          <w:b/>
          <w:lang w:val="en-US"/>
        </w:rPr>
      </w:pPr>
      <w:r w:rsidRPr="00384F2D">
        <w:rPr>
          <w:b/>
          <w:lang w:val="en-US"/>
        </w:rPr>
        <w:t>CALL</w:t>
      </w:r>
      <w:bookmarkStart w:id="0" w:name="_GoBack"/>
      <w:bookmarkEnd w:id="0"/>
      <w:r w:rsidRPr="00384F2D">
        <w:rPr>
          <w:b/>
          <w:lang w:val="en-US"/>
        </w:rPr>
        <w:t xml:space="preserve"> FOR APPLICATIONS</w:t>
      </w:r>
    </w:p>
    <w:p w:rsidR="0007222B" w:rsidRPr="00384F2D" w:rsidRDefault="0007222B" w:rsidP="0007222B">
      <w:pPr>
        <w:spacing w:line="360" w:lineRule="auto"/>
        <w:jc w:val="center"/>
        <w:rPr>
          <w:b/>
          <w:lang w:val="en-US"/>
        </w:rPr>
      </w:pPr>
    </w:p>
    <w:p w:rsidR="0007222B" w:rsidRDefault="0007222B" w:rsidP="0007222B">
      <w:pPr>
        <w:spacing w:line="360" w:lineRule="auto"/>
        <w:jc w:val="center"/>
        <w:rPr>
          <w:b/>
          <w:lang w:val="en-GB"/>
        </w:rPr>
      </w:pPr>
      <w:r w:rsidRPr="00384F2D">
        <w:rPr>
          <w:b/>
          <w:lang w:val="en-US"/>
        </w:rPr>
        <w:t xml:space="preserve">LL.M. in </w:t>
      </w:r>
      <w:r>
        <w:rPr>
          <w:b/>
          <w:lang w:val="en-GB"/>
        </w:rPr>
        <w:t>“European Business and Economic Law”</w:t>
      </w:r>
    </w:p>
    <w:p w:rsidR="0007222B" w:rsidRDefault="0007222B" w:rsidP="0007222B">
      <w:pPr>
        <w:spacing w:line="360" w:lineRule="auto"/>
        <w:jc w:val="center"/>
        <w:rPr>
          <w:b/>
          <w:lang w:val="en-GB"/>
        </w:rPr>
      </w:pPr>
      <w:proofErr w:type="gramStart"/>
      <w:r>
        <w:rPr>
          <w:b/>
          <w:lang w:val="en-GB"/>
        </w:rPr>
        <w:t>academic</w:t>
      </w:r>
      <w:proofErr w:type="gramEnd"/>
      <w:r>
        <w:rPr>
          <w:b/>
          <w:lang w:val="en-GB"/>
        </w:rPr>
        <w:t xml:space="preserve"> year 2021-2022</w:t>
      </w:r>
    </w:p>
    <w:p w:rsidR="0007222B" w:rsidRDefault="0007222B" w:rsidP="0007222B">
      <w:pPr>
        <w:spacing w:line="360" w:lineRule="auto"/>
        <w:jc w:val="center"/>
        <w:rPr>
          <w:b/>
          <w:lang w:val="en-GB"/>
        </w:rPr>
      </w:pPr>
    </w:p>
    <w:p w:rsidR="0007222B" w:rsidRDefault="0007222B" w:rsidP="0007222B">
      <w:pPr>
        <w:spacing w:line="360" w:lineRule="auto"/>
        <w:jc w:val="center"/>
        <w:rPr>
          <w:b/>
          <w:lang w:val="en-GB"/>
        </w:rPr>
      </w:pPr>
    </w:p>
    <w:p w:rsidR="0007222B" w:rsidRDefault="0007222B" w:rsidP="0007222B">
      <w:pPr>
        <w:spacing w:line="360" w:lineRule="auto"/>
        <w:jc w:val="both"/>
        <w:rPr>
          <w:lang w:val="en-GB"/>
        </w:rPr>
      </w:pPr>
      <w:r>
        <w:rPr>
          <w:lang w:val="en-GB"/>
        </w:rPr>
        <w:t xml:space="preserve">The Faculty of Law, Aristotle University of Thessaloniki, intends to </w:t>
      </w:r>
      <w:r w:rsidR="00C65528">
        <w:rPr>
          <w:lang w:val="en-GB"/>
        </w:rPr>
        <w:t>admit up to thirty five (35)</w:t>
      </w:r>
      <w:r>
        <w:rPr>
          <w:lang w:val="en-GB"/>
        </w:rPr>
        <w:t xml:space="preserve"> students to its graduate programme titled “European Business and Economic Law”, and invites interested parties</w:t>
      </w:r>
      <w:r w:rsidR="00C65528">
        <w:rPr>
          <w:lang w:val="en-GB"/>
        </w:rPr>
        <w:t xml:space="preserve">, who have completed </w:t>
      </w:r>
      <w:r w:rsidR="00C65528" w:rsidRPr="00384F2D">
        <w:rPr>
          <w:lang w:val="en-GB"/>
        </w:rPr>
        <w:t>or are about to complete</w:t>
      </w:r>
      <w:r w:rsidR="00C65528">
        <w:rPr>
          <w:lang w:val="en-GB"/>
        </w:rPr>
        <w:t xml:space="preserve"> the</w:t>
      </w:r>
      <w:r w:rsidR="00B11C4E">
        <w:rPr>
          <w:lang w:val="en-GB"/>
        </w:rPr>
        <w:t xml:space="preserve">ir undergraduate studies in </w:t>
      </w:r>
      <w:r w:rsidR="00C65528">
        <w:rPr>
          <w:lang w:val="en-GB"/>
        </w:rPr>
        <w:t xml:space="preserve">Faculties </w:t>
      </w:r>
      <w:r w:rsidR="00B11C4E">
        <w:rPr>
          <w:lang w:val="en-GB"/>
        </w:rPr>
        <w:t xml:space="preserve">of Law </w:t>
      </w:r>
      <w:r w:rsidR="00C65528">
        <w:rPr>
          <w:lang w:val="en-GB"/>
        </w:rPr>
        <w:t>either in Greece or in other countries,</w:t>
      </w:r>
      <w:r>
        <w:rPr>
          <w:lang w:val="en-GB"/>
        </w:rPr>
        <w:t xml:space="preserve"> to submit their applications, in the manner described below, </w:t>
      </w:r>
      <w:r w:rsidRPr="00384F2D">
        <w:rPr>
          <w:lang w:val="en-GB"/>
        </w:rPr>
        <w:t xml:space="preserve">by </w:t>
      </w:r>
      <w:r w:rsidR="00176978" w:rsidRPr="00176978">
        <w:rPr>
          <w:lang w:val="en-US"/>
        </w:rPr>
        <w:t>30</w:t>
      </w:r>
      <w:proofErr w:type="spellStart"/>
      <w:r w:rsidRPr="00384F2D">
        <w:rPr>
          <w:vertAlign w:val="superscript"/>
          <w:lang w:val="en-GB"/>
        </w:rPr>
        <w:t>th</w:t>
      </w:r>
      <w:proofErr w:type="spellEnd"/>
      <w:r w:rsidRPr="00384F2D">
        <w:rPr>
          <w:lang w:val="en-GB"/>
        </w:rPr>
        <w:t xml:space="preserve"> June 2021</w:t>
      </w:r>
      <w:r>
        <w:rPr>
          <w:lang w:val="en-GB"/>
        </w:rPr>
        <w:t>.</w:t>
      </w:r>
    </w:p>
    <w:p w:rsidR="00F23FE2" w:rsidRDefault="00F23FE2" w:rsidP="0007222B">
      <w:pPr>
        <w:spacing w:line="360" w:lineRule="auto"/>
        <w:jc w:val="both"/>
        <w:rPr>
          <w:lang w:val="en-GB"/>
        </w:rPr>
      </w:pPr>
      <w:r>
        <w:rPr>
          <w:lang w:val="en-GB"/>
        </w:rPr>
        <w:t>I</w:t>
      </w:r>
      <w:r w:rsidRPr="00FE3F0F">
        <w:rPr>
          <w:lang w:val="en-GB"/>
        </w:rPr>
        <w:t>nformation on the programme</w:t>
      </w:r>
      <w:r w:rsidR="002F5B51">
        <w:rPr>
          <w:lang w:val="en-GB"/>
        </w:rPr>
        <w:t xml:space="preserve"> (teaching staff, course descriptions</w:t>
      </w:r>
      <w:r w:rsidR="00DE71DA">
        <w:rPr>
          <w:lang w:val="en-GB"/>
        </w:rPr>
        <w:t>, detailed regulations</w:t>
      </w:r>
      <w:r w:rsidR="002F5B51">
        <w:rPr>
          <w:lang w:val="en-GB"/>
        </w:rPr>
        <w:t xml:space="preserve"> etc.)</w:t>
      </w:r>
      <w:r w:rsidR="00176978" w:rsidRPr="00176978">
        <w:rPr>
          <w:lang w:val="en-US"/>
        </w:rPr>
        <w:t xml:space="preserve"> </w:t>
      </w:r>
      <w:r>
        <w:rPr>
          <w:lang w:val="en-GB"/>
        </w:rPr>
        <w:t xml:space="preserve">is available at: </w:t>
      </w:r>
      <w:hyperlink r:id="rId8" w:history="1">
        <w:r w:rsidRPr="007B2AFB">
          <w:rPr>
            <w:rStyle w:val="-"/>
            <w:lang w:val="en-GB"/>
          </w:rPr>
          <w:t>http://europeanbusiness.law.auth.gr</w:t>
        </w:r>
      </w:hyperlink>
    </w:p>
    <w:p w:rsidR="0007222B" w:rsidRDefault="0007222B" w:rsidP="0007222B">
      <w:pPr>
        <w:spacing w:line="360" w:lineRule="auto"/>
        <w:jc w:val="both"/>
        <w:rPr>
          <w:lang w:val="en-GB"/>
        </w:rPr>
      </w:pPr>
    </w:p>
    <w:p w:rsidR="0007222B" w:rsidRPr="00DE71DA" w:rsidRDefault="0007222B" w:rsidP="0007222B">
      <w:pPr>
        <w:spacing w:line="360" w:lineRule="auto"/>
        <w:jc w:val="both"/>
        <w:rPr>
          <w:b/>
          <w:lang w:val="en-GB"/>
        </w:rPr>
      </w:pPr>
      <w:r w:rsidRPr="00DE71DA">
        <w:rPr>
          <w:b/>
          <w:lang w:val="en-GB"/>
        </w:rPr>
        <w:t>Brief description of the programme</w:t>
      </w:r>
    </w:p>
    <w:p w:rsidR="0007222B" w:rsidRDefault="0007222B" w:rsidP="0007222B">
      <w:pPr>
        <w:spacing w:line="360" w:lineRule="auto"/>
        <w:jc w:val="both"/>
        <w:rPr>
          <w:lang w:val="en-GB"/>
        </w:rPr>
      </w:pPr>
      <w:r>
        <w:rPr>
          <w:lang w:val="en-GB"/>
        </w:rPr>
        <w:t>This is a twelve-month programme, starting on 1</w:t>
      </w:r>
      <w:r w:rsidRPr="0007222B">
        <w:rPr>
          <w:vertAlign w:val="superscript"/>
          <w:lang w:val="en-GB"/>
        </w:rPr>
        <w:t>st</w:t>
      </w:r>
      <w:r>
        <w:rPr>
          <w:lang w:val="en-GB"/>
        </w:rPr>
        <w:t xml:space="preserve"> October 2021 and ending on 30</w:t>
      </w:r>
      <w:r w:rsidRPr="0007222B">
        <w:rPr>
          <w:vertAlign w:val="superscript"/>
          <w:lang w:val="en-GB"/>
        </w:rPr>
        <w:t>th</w:t>
      </w:r>
      <w:r>
        <w:rPr>
          <w:lang w:val="en-GB"/>
        </w:rPr>
        <w:t xml:space="preserve"> September 2022. In order to be awarded the LL.M. degree (75 ECTS overall), students are required to successfully attend </w:t>
      </w:r>
      <w:r w:rsidRPr="00DE71DA">
        <w:rPr>
          <w:u w:val="single"/>
          <w:lang w:val="en-GB"/>
        </w:rPr>
        <w:t>eight (8) courses</w:t>
      </w:r>
      <w:r>
        <w:rPr>
          <w:lang w:val="en-GB"/>
        </w:rPr>
        <w:t>, i.e. two (2) compulsory and two (2) elective courses in the winter semester, and similarly two (2) compulsory and two (2) elective courses in the spring semester.</w:t>
      </w:r>
      <w:r w:rsidR="00FE3F0F">
        <w:rPr>
          <w:lang w:val="en-GB"/>
        </w:rPr>
        <w:t xml:space="preserve"> They are also required to submit </w:t>
      </w:r>
      <w:proofErr w:type="gramStart"/>
      <w:r w:rsidR="00FE3F0F">
        <w:rPr>
          <w:lang w:val="en-GB"/>
        </w:rPr>
        <w:t>and</w:t>
      </w:r>
      <w:proofErr w:type="gramEnd"/>
      <w:r w:rsidR="00FE3F0F">
        <w:rPr>
          <w:lang w:val="en-GB"/>
        </w:rPr>
        <w:t xml:space="preserve"> present a </w:t>
      </w:r>
      <w:r w:rsidR="00FE3F0F" w:rsidRPr="00DE71DA">
        <w:rPr>
          <w:u w:val="single"/>
          <w:lang w:val="en-GB"/>
        </w:rPr>
        <w:t>post-graduate thesis</w:t>
      </w:r>
      <w:r w:rsidR="00FE3F0F">
        <w:rPr>
          <w:lang w:val="en-GB"/>
        </w:rPr>
        <w:t xml:space="preserve"> of 15.000 to 18.000 words.</w:t>
      </w:r>
    </w:p>
    <w:p w:rsidR="00FE3F0F" w:rsidRDefault="00FE3F0F" w:rsidP="0007222B">
      <w:pPr>
        <w:spacing w:line="360" w:lineRule="auto"/>
        <w:jc w:val="both"/>
        <w:rPr>
          <w:lang w:val="en-GB"/>
        </w:rPr>
      </w:pPr>
      <w:r>
        <w:rPr>
          <w:lang w:val="en-GB"/>
        </w:rPr>
        <w:t>The overall structure of the programme is the following:</w:t>
      </w:r>
    </w:p>
    <w:p w:rsidR="00FE3F0F" w:rsidRDefault="00FE3F0F" w:rsidP="0007222B">
      <w:pPr>
        <w:spacing w:line="360" w:lineRule="auto"/>
        <w:jc w:val="both"/>
        <w:rPr>
          <w:lang w:val="en-GB"/>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940"/>
        <w:gridCol w:w="2013"/>
        <w:gridCol w:w="993"/>
        <w:gridCol w:w="959"/>
      </w:tblGrid>
      <w:tr w:rsidR="00FE3F0F" w:rsidRPr="00A65091" w:rsidTr="00FE3F0F">
        <w:tc>
          <w:tcPr>
            <w:tcW w:w="8643" w:type="dxa"/>
            <w:gridSpan w:val="5"/>
            <w:shd w:val="clear" w:color="auto" w:fill="auto"/>
          </w:tcPr>
          <w:p w:rsidR="00FE3F0F" w:rsidRPr="00115681" w:rsidRDefault="00FE3F0F" w:rsidP="00FE3F0F">
            <w:pPr>
              <w:spacing w:before="120" w:after="120" w:line="259" w:lineRule="auto"/>
              <w:jc w:val="center"/>
              <w:rPr>
                <w:rFonts w:asciiTheme="majorHAnsi" w:eastAsia="Calibri" w:hAnsiTheme="majorHAnsi" w:cstheme="majorHAnsi"/>
                <w:b/>
                <w:lang w:val="en-US"/>
              </w:rPr>
            </w:pPr>
            <w:r w:rsidRPr="00A65091">
              <w:rPr>
                <w:b/>
                <w:lang w:val="en-US"/>
              </w:rPr>
              <w:t>1st semester (Total ECTS points 30)</w:t>
            </w:r>
          </w:p>
          <w:p w:rsidR="00FE3F0F" w:rsidRPr="00115681" w:rsidRDefault="00FE3F0F" w:rsidP="00FE3F0F">
            <w:pPr>
              <w:spacing w:before="120" w:after="120" w:line="259" w:lineRule="auto"/>
              <w:jc w:val="center"/>
              <w:rPr>
                <w:rFonts w:asciiTheme="majorHAnsi" w:eastAsia="Calibri" w:hAnsiTheme="majorHAnsi" w:cstheme="majorHAnsi"/>
                <w:lang w:val="en-US"/>
              </w:rPr>
            </w:pPr>
            <w:r w:rsidRPr="00A65091">
              <w:rPr>
                <w:spacing w:val="1"/>
                <w:lang w:val="en-US"/>
              </w:rPr>
              <w:t>[Two compulsory (</w:t>
            </w:r>
            <w:r>
              <w:rPr>
                <w:spacing w:val="1"/>
              </w:rPr>
              <w:t>Υ</w:t>
            </w:r>
            <w:r w:rsidRPr="000A31A7">
              <w:rPr>
                <w:spacing w:val="1"/>
                <w:lang w:val="en-US"/>
              </w:rPr>
              <w:t>)</w:t>
            </w:r>
            <w:r w:rsidRPr="00A65091">
              <w:rPr>
                <w:spacing w:val="1"/>
                <w:lang w:val="en-US"/>
              </w:rPr>
              <w:t xml:space="preserve"> courses. Students choose two elective</w:t>
            </w:r>
            <w:r w:rsidRPr="000A31A7">
              <w:rPr>
                <w:spacing w:val="1"/>
                <w:lang w:val="en-US"/>
              </w:rPr>
              <w:t xml:space="preserve"> (</w:t>
            </w:r>
            <w:r>
              <w:rPr>
                <w:spacing w:val="1"/>
              </w:rPr>
              <w:t>Ε</w:t>
            </w:r>
            <w:r w:rsidRPr="000A31A7">
              <w:rPr>
                <w:spacing w:val="1"/>
                <w:lang w:val="en-US"/>
              </w:rPr>
              <w:t>)</w:t>
            </w:r>
            <w:r w:rsidRPr="00A65091">
              <w:rPr>
                <w:spacing w:val="1"/>
                <w:lang w:val="en-US"/>
              </w:rPr>
              <w:t xml:space="preserve"> courses.]</w:t>
            </w:r>
          </w:p>
        </w:tc>
      </w:tr>
      <w:tr w:rsidR="00FE3F0F" w:rsidRPr="00A44D5B" w:rsidTr="00FE3F0F">
        <w:tc>
          <w:tcPr>
            <w:tcW w:w="738"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lang w:val="en-US"/>
              </w:rPr>
            </w:pPr>
            <w:r w:rsidRPr="00A44D5B">
              <w:rPr>
                <w:b/>
              </w:rPr>
              <w:t>A/A</w:t>
            </w:r>
          </w:p>
        </w:tc>
        <w:tc>
          <w:tcPr>
            <w:tcW w:w="3940"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Course</w:t>
            </w:r>
            <w:proofErr w:type="spellEnd"/>
            <w:r w:rsidRPr="00A44D5B">
              <w:rPr>
                <w:b/>
              </w:rPr>
              <w:t xml:space="preserve"> </w:t>
            </w:r>
            <w:proofErr w:type="spellStart"/>
            <w:r w:rsidRPr="00A44D5B">
              <w:rPr>
                <w:b/>
              </w:rPr>
              <w:t>Title</w:t>
            </w:r>
            <w:proofErr w:type="spellEnd"/>
          </w:p>
        </w:tc>
        <w:tc>
          <w:tcPr>
            <w:tcW w:w="2013" w:type="dxa"/>
            <w:shd w:val="clear" w:color="auto" w:fill="DEEAF6"/>
          </w:tcPr>
          <w:p w:rsidR="00FE3F0F" w:rsidRPr="00384F2D" w:rsidRDefault="00FE3F0F" w:rsidP="00FE3F0F">
            <w:pPr>
              <w:spacing w:before="120" w:after="120" w:line="259" w:lineRule="auto"/>
              <w:jc w:val="center"/>
              <w:rPr>
                <w:rFonts w:asciiTheme="majorHAnsi" w:eastAsia="Calibri" w:hAnsiTheme="majorHAnsi" w:cstheme="majorHAnsi"/>
                <w:b/>
                <w:lang w:val="en-US"/>
              </w:rPr>
            </w:pPr>
            <w:r w:rsidRPr="00A65091">
              <w:rPr>
                <w:b/>
                <w:lang w:val="en-US"/>
              </w:rPr>
              <w:t>Course type: compulsory (Y) / elective (E)</w:t>
            </w:r>
          </w:p>
        </w:tc>
        <w:tc>
          <w:tcPr>
            <w:tcW w:w="993"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Teaching</w:t>
            </w:r>
            <w:proofErr w:type="spellEnd"/>
            <w:r w:rsidRPr="00A44D5B">
              <w:rPr>
                <w:b/>
              </w:rPr>
              <w:t xml:space="preserve"> </w:t>
            </w:r>
            <w:proofErr w:type="spellStart"/>
            <w:r w:rsidRPr="00A44D5B">
              <w:rPr>
                <w:b/>
              </w:rPr>
              <w:t>hours</w:t>
            </w:r>
            <w:proofErr w:type="spellEnd"/>
          </w:p>
        </w:tc>
        <w:tc>
          <w:tcPr>
            <w:tcW w:w="959"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lang w:val="en-US"/>
              </w:rPr>
            </w:pPr>
            <w:r w:rsidRPr="00A44D5B">
              <w:rPr>
                <w:b/>
              </w:rPr>
              <w:t>E</w:t>
            </w:r>
            <w:r>
              <w:rPr>
                <w:b/>
              </w:rPr>
              <w:t>CTS</w:t>
            </w:r>
          </w:p>
        </w:tc>
      </w:tr>
      <w:tr w:rsidR="00FE3F0F" w:rsidRPr="00A44D5B" w:rsidTr="00FE3F0F">
        <w:tc>
          <w:tcPr>
            <w:tcW w:w="738"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lastRenderedPageBreak/>
              <w:t>1</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44D5B">
              <w:t>EU Internal Market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Y</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highlight w:val="yellow"/>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2</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proofErr w:type="spellStart"/>
            <w:r w:rsidRPr="00A44D5B">
              <w:t>Banking</w:t>
            </w:r>
            <w:proofErr w:type="spellEnd"/>
            <w:r w:rsidRPr="00A44D5B">
              <w:t xml:space="preserve"> and </w:t>
            </w:r>
            <w:proofErr w:type="spellStart"/>
            <w:r w:rsidRPr="00A44D5B">
              <w:t>Financial</w:t>
            </w:r>
            <w:proofErr w:type="spellEnd"/>
            <w:r w:rsidRPr="00A44D5B">
              <w:t xml:space="preserve"> </w:t>
            </w:r>
            <w:proofErr w:type="spellStart"/>
            <w:r w:rsidRPr="00A44D5B">
              <w:t>Contracts</w:t>
            </w:r>
            <w:proofErr w:type="spellEnd"/>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Y</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3</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r w:rsidRPr="00A44D5B">
              <w:t xml:space="preserve">Law and </w:t>
            </w:r>
            <w:proofErr w:type="spellStart"/>
            <w:r w:rsidRPr="00A44D5B">
              <w:t>Economics</w:t>
            </w:r>
            <w:proofErr w:type="spellEnd"/>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t>4</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44D5B">
              <w:t>EU Intellectual Property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t>5</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44D5B">
              <w:t xml:space="preserve">EU </w:t>
            </w:r>
            <w:proofErr w:type="spellStart"/>
            <w:r w:rsidRPr="00A44D5B">
              <w:t>Data</w:t>
            </w:r>
            <w:proofErr w:type="spellEnd"/>
            <w:r w:rsidRPr="00A44D5B">
              <w:t xml:space="preserve"> Protection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highlight w:val="yellow"/>
              </w:rPr>
            </w:pPr>
            <w:r w:rsidRPr="00A44D5B">
              <w:t>7,5</w:t>
            </w:r>
          </w:p>
        </w:tc>
      </w:tr>
      <w:tr w:rsidR="00FE3F0F" w:rsidRPr="00A65091" w:rsidTr="00FE3F0F">
        <w:tc>
          <w:tcPr>
            <w:tcW w:w="8643" w:type="dxa"/>
            <w:gridSpan w:val="5"/>
            <w:shd w:val="clear" w:color="auto" w:fill="auto"/>
          </w:tcPr>
          <w:p w:rsidR="00FE3F0F" w:rsidRPr="00115681" w:rsidRDefault="00FE3F0F" w:rsidP="00FE3F0F">
            <w:pPr>
              <w:spacing w:before="120" w:after="120" w:line="259" w:lineRule="auto"/>
              <w:jc w:val="center"/>
              <w:rPr>
                <w:rFonts w:asciiTheme="majorHAnsi" w:eastAsia="Calibri" w:hAnsiTheme="majorHAnsi" w:cstheme="majorHAnsi"/>
                <w:b/>
                <w:lang w:val="en-US"/>
              </w:rPr>
            </w:pPr>
            <w:r w:rsidRPr="00A65091">
              <w:rPr>
                <w:b/>
                <w:lang w:val="en-US"/>
              </w:rPr>
              <w:t>2nd semester (Total ECTS30)</w:t>
            </w:r>
          </w:p>
          <w:p w:rsidR="00FE3F0F" w:rsidRPr="00115681" w:rsidRDefault="00FE3F0F" w:rsidP="00FE3F0F">
            <w:pPr>
              <w:spacing w:before="120" w:after="120" w:line="259" w:lineRule="auto"/>
              <w:jc w:val="center"/>
              <w:rPr>
                <w:rFonts w:asciiTheme="majorHAnsi" w:eastAsia="Calibri" w:hAnsiTheme="majorHAnsi" w:cstheme="majorHAnsi"/>
                <w:lang w:val="en-US"/>
              </w:rPr>
            </w:pPr>
            <w:r w:rsidRPr="00A65091">
              <w:rPr>
                <w:spacing w:val="1"/>
                <w:lang w:val="en-US"/>
              </w:rPr>
              <w:t>[Two compulsory (</w:t>
            </w:r>
            <w:r>
              <w:rPr>
                <w:spacing w:val="1"/>
              </w:rPr>
              <w:t>Υ</w:t>
            </w:r>
            <w:r w:rsidRPr="000A31A7">
              <w:rPr>
                <w:spacing w:val="1"/>
                <w:lang w:val="en-US"/>
              </w:rPr>
              <w:t>)</w:t>
            </w:r>
            <w:r w:rsidRPr="00A65091">
              <w:rPr>
                <w:spacing w:val="1"/>
                <w:lang w:val="en-US"/>
              </w:rPr>
              <w:t xml:space="preserve"> courses. Students choose two elective</w:t>
            </w:r>
            <w:r w:rsidRPr="000A31A7">
              <w:rPr>
                <w:spacing w:val="1"/>
                <w:lang w:val="en-US"/>
              </w:rPr>
              <w:t xml:space="preserve"> (</w:t>
            </w:r>
            <w:r>
              <w:rPr>
                <w:spacing w:val="1"/>
              </w:rPr>
              <w:t>Ε</w:t>
            </w:r>
            <w:r w:rsidRPr="000A31A7">
              <w:rPr>
                <w:spacing w:val="1"/>
                <w:lang w:val="en-US"/>
              </w:rPr>
              <w:t>)</w:t>
            </w:r>
            <w:r w:rsidRPr="00A65091">
              <w:rPr>
                <w:spacing w:val="1"/>
                <w:lang w:val="en-US"/>
              </w:rPr>
              <w:t xml:space="preserve"> courses.]</w:t>
            </w:r>
          </w:p>
        </w:tc>
      </w:tr>
      <w:tr w:rsidR="00FE3F0F" w:rsidRPr="00A44D5B" w:rsidTr="00FE3F0F">
        <w:tc>
          <w:tcPr>
            <w:tcW w:w="738"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r w:rsidRPr="00A44D5B">
              <w:rPr>
                <w:b/>
              </w:rPr>
              <w:t>A/A</w:t>
            </w:r>
          </w:p>
        </w:tc>
        <w:tc>
          <w:tcPr>
            <w:tcW w:w="3940"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Course</w:t>
            </w:r>
            <w:proofErr w:type="spellEnd"/>
            <w:r w:rsidRPr="00A44D5B">
              <w:rPr>
                <w:b/>
              </w:rPr>
              <w:t xml:space="preserve"> </w:t>
            </w:r>
            <w:proofErr w:type="spellStart"/>
            <w:r w:rsidRPr="00A44D5B">
              <w:rPr>
                <w:b/>
              </w:rPr>
              <w:t>Title</w:t>
            </w:r>
            <w:proofErr w:type="spellEnd"/>
          </w:p>
        </w:tc>
        <w:tc>
          <w:tcPr>
            <w:tcW w:w="2013" w:type="dxa"/>
            <w:shd w:val="clear" w:color="auto" w:fill="DEEAF6"/>
          </w:tcPr>
          <w:p w:rsidR="00FE3F0F" w:rsidRPr="00384F2D" w:rsidRDefault="00FE3F0F" w:rsidP="00FE3F0F">
            <w:pPr>
              <w:spacing w:before="120" w:after="120" w:line="259" w:lineRule="auto"/>
              <w:jc w:val="center"/>
              <w:rPr>
                <w:rFonts w:asciiTheme="majorHAnsi" w:eastAsia="Calibri" w:hAnsiTheme="majorHAnsi" w:cstheme="majorHAnsi"/>
                <w:b/>
                <w:lang w:val="en-US"/>
              </w:rPr>
            </w:pPr>
            <w:r w:rsidRPr="00A65091">
              <w:rPr>
                <w:b/>
                <w:lang w:val="en-US"/>
              </w:rPr>
              <w:t>Course type: compulsory (Y) / elective (E)</w:t>
            </w:r>
          </w:p>
        </w:tc>
        <w:tc>
          <w:tcPr>
            <w:tcW w:w="993" w:type="dxa"/>
            <w:shd w:val="clear" w:color="auto" w:fill="DEEAF6"/>
          </w:tcPr>
          <w:p w:rsidR="00FE3F0F" w:rsidRPr="000B6B79" w:rsidRDefault="00FE3F0F" w:rsidP="00FE3F0F">
            <w:pPr>
              <w:spacing w:before="120" w:after="120" w:line="259" w:lineRule="auto"/>
              <w:jc w:val="center"/>
              <w:rPr>
                <w:rFonts w:asciiTheme="majorHAnsi" w:eastAsia="Calibri" w:hAnsiTheme="majorHAnsi" w:cstheme="majorHAnsi"/>
                <w:b/>
              </w:rPr>
            </w:pPr>
            <w:proofErr w:type="spellStart"/>
            <w:r w:rsidRPr="000B6B79">
              <w:rPr>
                <w:b/>
              </w:rPr>
              <w:t>Teaching</w:t>
            </w:r>
            <w:proofErr w:type="spellEnd"/>
            <w:r w:rsidRPr="000B6B79">
              <w:rPr>
                <w:b/>
              </w:rPr>
              <w:t xml:space="preserve"> </w:t>
            </w:r>
            <w:proofErr w:type="spellStart"/>
            <w:r w:rsidRPr="000B6B79">
              <w:rPr>
                <w:b/>
              </w:rPr>
              <w:t>hours</w:t>
            </w:r>
            <w:proofErr w:type="spellEnd"/>
          </w:p>
        </w:tc>
        <w:tc>
          <w:tcPr>
            <w:tcW w:w="959"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r w:rsidRPr="00A44D5B">
              <w:rPr>
                <w:b/>
              </w:rPr>
              <w:t>E</w:t>
            </w:r>
            <w:r>
              <w:rPr>
                <w:b/>
              </w:rPr>
              <w:t>CTS</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r w:rsidRPr="00A44D5B">
              <w:t>1</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65091">
              <w:rPr>
                <w:lang w:val="en-US"/>
              </w:rPr>
              <w:t>Competition and State Aids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Y</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r w:rsidRPr="00A44D5B">
              <w:t>2</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44D5B">
              <w:t xml:space="preserve">European </w:t>
            </w:r>
            <w:proofErr w:type="spellStart"/>
            <w:r w:rsidRPr="00A44D5B">
              <w:t>Contract</w:t>
            </w:r>
            <w:proofErr w:type="spellEnd"/>
            <w:r w:rsidRPr="00A44D5B">
              <w:t xml:space="preserve">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Y</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r w:rsidRPr="00A44D5B">
              <w:t>3</w:t>
            </w:r>
          </w:p>
        </w:tc>
        <w:tc>
          <w:tcPr>
            <w:tcW w:w="3940" w:type="dxa"/>
            <w:shd w:val="clear" w:color="auto" w:fill="auto"/>
          </w:tcPr>
          <w:p w:rsidR="00FE3F0F" w:rsidRPr="00A44D5B" w:rsidRDefault="00FE3F0F" w:rsidP="00FE3F0F">
            <w:pPr>
              <w:spacing w:before="120" w:after="120" w:line="259" w:lineRule="auto"/>
              <w:rPr>
                <w:rFonts w:asciiTheme="majorHAnsi" w:eastAsia="Calibri" w:hAnsiTheme="majorHAnsi" w:cstheme="majorHAnsi"/>
                <w:lang w:val="en-US"/>
              </w:rPr>
            </w:pPr>
            <w:r w:rsidRPr="00A44D5B">
              <w:t>European Labour Law</w:t>
            </w:r>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lang w:val="en-US"/>
              </w:rPr>
            </w:pPr>
            <w:r w:rsidRPr="00A44D5B">
              <w:t>7,5</w:t>
            </w:r>
          </w:p>
        </w:tc>
      </w:tr>
      <w:tr w:rsidR="00FE3F0F" w:rsidRPr="00A44D5B" w:rsidTr="00FE3F0F">
        <w:tc>
          <w:tcPr>
            <w:tcW w:w="738" w:type="dxa"/>
            <w:shd w:val="clear" w:color="auto" w:fill="auto"/>
          </w:tcPr>
          <w:p w:rsidR="00FE3F0F" w:rsidRPr="00A44D5B" w:rsidRDefault="00FE3F0F" w:rsidP="00FE3F0F">
            <w:pPr>
              <w:snapToGrid w:val="0"/>
              <w:spacing w:before="120" w:after="120" w:line="259" w:lineRule="auto"/>
              <w:rPr>
                <w:rFonts w:asciiTheme="majorHAnsi" w:hAnsiTheme="majorHAnsi" w:cstheme="majorHAnsi"/>
              </w:rPr>
            </w:pPr>
            <w:r w:rsidRPr="00A44D5B">
              <w:t>4</w:t>
            </w:r>
          </w:p>
        </w:tc>
        <w:tc>
          <w:tcPr>
            <w:tcW w:w="3940" w:type="dxa"/>
            <w:shd w:val="clear" w:color="auto" w:fill="auto"/>
          </w:tcPr>
          <w:p w:rsidR="00FE3F0F" w:rsidRPr="00A44D5B" w:rsidRDefault="00FE3F0F" w:rsidP="00FE3F0F">
            <w:pPr>
              <w:snapToGrid w:val="0"/>
              <w:spacing w:before="120" w:after="120" w:line="259" w:lineRule="auto"/>
              <w:rPr>
                <w:rFonts w:asciiTheme="majorHAnsi" w:hAnsiTheme="majorHAnsi" w:cstheme="majorHAnsi"/>
                <w:lang w:val="en-US"/>
              </w:rPr>
            </w:pPr>
            <w:r w:rsidRPr="00A65091">
              <w:rPr>
                <w:lang w:val="en-US"/>
              </w:rPr>
              <w:t>International and European Procedural Law</w:t>
            </w:r>
          </w:p>
        </w:tc>
        <w:tc>
          <w:tcPr>
            <w:tcW w:w="2013" w:type="dxa"/>
            <w:shd w:val="clear" w:color="auto" w:fill="auto"/>
          </w:tcPr>
          <w:p w:rsidR="00FE3F0F" w:rsidRPr="00A44D5B" w:rsidRDefault="00FE3F0F" w:rsidP="00FE3F0F">
            <w:pPr>
              <w:spacing w:before="120" w:after="120" w:line="259" w:lineRule="auto"/>
              <w:jc w:val="center"/>
              <w:rPr>
                <w:rFonts w:asciiTheme="majorHAns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hAnsiTheme="majorHAnsi" w:cstheme="majorHAnsi"/>
              </w:rPr>
            </w:pPr>
            <w:r w:rsidRPr="00A44D5B">
              <w:t>5</w:t>
            </w:r>
          </w:p>
        </w:tc>
        <w:tc>
          <w:tcPr>
            <w:tcW w:w="3940" w:type="dxa"/>
            <w:shd w:val="clear" w:color="auto" w:fill="auto"/>
          </w:tcPr>
          <w:p w:rsidR="00FE3F0F" w:rsidRPr="00A44D5B" w:rsidRDefault="00FE3F0F" w:rsidP="00FE3F0F">
            <w:pPr>
              <w:spacing w:before="120" w:after="120" w:line="259" w:lineRule="auto"/>
              <w:rPr>
                <w:rFonts w:asciiTheme="majorHAnsi" w:hAnsiTheme="majorHAnsi" w:cstheme="majorHAnsi"/>
                <w:lang w:val="en-US"/>
              </w:rPr>
            </w:pPr>
            <w:r w:rsidRPr="00A44D5B">
              <w:t>European Economic Criminal Law</w:t>
            </w:r>
          </w:p>
        </w:tc>
        <w:tc>
          <w:tcPr>
            <w:tcW w:w="2013" w:type="dxa"/>
            <w:shd w:val="clear" w:color="auto" w:fill="auto"/>
          </w:tcPr>
          <w:p w:rsidR="00FE3F0F" w:rsidRPr="00A44D5B" w:rsidRDefault="00FE3F0F" w:rsidP="00FE3F0F">
            <w:pPr>
              <w:spacing w:before="120" w:after="120" w:line="259" w:lineRule="auto"/>
              <w:jc w:val="center"/>
              <w:rPr>
                <w:rFonts w:asciiTheme="majorHAns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u w:val="single"/>
              </w:rPr>
            </w:pPr>
            <w:r w:rsidRPr="00A44D5B">
              <w:t>7,5</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hAnsiTheme="majorHAnsi" w:cstheme="majorHAnsi"/>
              </w:rPr>
            </w:pPr>
            <w:r w:rsidRPr="00A44D5B">
              <w:t>6</w:t>
            </w:r>
          </w:p>
        </w:tc>
        <w:tc>
          <w:tcPr>
            <w:tcW w:w="3940" w:type="dxa"/>
            <w:shd w:val="clear" w:color="auto" w:fill="auto"/>
          </w:tcPr>
          <w:p w:rsidR="00FE3F0F" w:rsidRPr="00A44D5B" w:rsidRDefault="00FE3F0F" w:rsidP="00FE3F0F">
            <w:pPr>
              <w:spacing w:before="120" w:after="120" w:line="259" w:lineRule="auto"/>
              <w:rPr>
                <w:rFonts w:asciiTheme="majorHAnsi" w:hAnsiTheme="majorHAnsi" w:cstheme="majorHAnsi"/>
                <w:lang w:val="en-US"/>
              </w:rPr>
            </w:pPr>
            <w:proofErr w:type="spellStart"/>
            <w:r w:rsidRPr="00A44D5B">
              <w:t>Public</w:t>
            </w:r>
            <w:proofErr w:type="spellEnd"/>
            <w:r w:rsidRPr="00A44D5B">
              <w:t xml:space="preserve"> </w:t>
            </w:r>
            <w:proofErr w:type="spellStart"/>
            <w:r w:rsidRPr="00A44D5B">
              <w:t>Procurement</w:t>
            </w:r>
            <w:proofErr w:type="spellEnd"/>
            <w:r w:rsidRPr="00A44D5B">
              <w:t xml:space="preserve"> Law</w:t>
            </w:r>
          </w:p>
        </w:tc>
        <w:tc>
          <w:tcPr>
            <w:tcW w:w="2013" w:type="dxa"/>
            <w:shd w:val="clear" w:color="auto" w:fill="auto"/>
          </w:tcPr>
          <w:p w:rsidR="00FE3F0F" w:rsidRPr="00A44D5B" w:rsidRDefault="00FE3F0F" w:rsidP="00FE3F0F">
            <w:pPr>
              <w:spacing w:before="120" w:after="120" w:line="259" w:lineRule="auto"/>
              <w:jc w:val="center"/>
              <w:rPr>
                <w:rFonts w:asciiTheme="majorHAnsi" w:hAnsiTheme="majorHAnsi" w:cstheme="majorHAnsi"/>
                <w:lang w:val="en-US"/>
              </w:rPr>
            </w:pPr>
            <w:r w:rsidRPr="00A44D5B">
              <w:t>E</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lang w:val="en-US"/>
              </w:rPr>
            </w:pPr>
            <w:r w:rsidRPr="00A44D5B">
              <w:t>26</w:t>
            </w:r>
          </w:p>
        </w:tc>
        <w:tc>
          <w:tcPr>
            <w:tcW w:w="959" w:type="dxa"/>
            <w:shd w:val="clear" w:color="auto" w:fill="auto"/>
          </w:tcPr>
          <w:p w:rsidR="00FE3F0F" w:rsidRPr="00A44D5B" w:rsidRDefault="00FE3F0F" w:rsidP="00FE3F0F">
            <w:pPr>
              <w:spacing w:before="120" w:after="120" w:line="259" w:lineRule="auto"/>
              <w:jc w:val="center"/>
              <w:rPr>
                <w:rFonts w:asciiTheme="majorHAnsi" w:hAnsiTheme="majorHAnsi" w:cstheme="majorHAnsi"/>
                <w:highlight w:val="yellow"/>
              </w:rPr>
            </w:pPr>
            <w:r w:rsidRPr="00A44D5B">
              <w:t>7,5</w:t>
            </w:r>
          </w:p>
        </w:tc>
      </w:tr>
      <w:tr w:rsidR="00FE3F0F" w:rsidRPr="00A44D5B" w:rsidTr="00FE3F0F">
        <w:tc>
          <w:tcPr>
            <w:tcW w:w="8643" w:type="dxa"/>
            <w:gridSpan w:val="5"/>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highlight w:val="yellow"/>
              </w:rPr>
            </w:pPr>
            <w:proofErr w:type="spellStart"/>
            <w:r w:rsidRPr="00A44D5B">
              <w:rPr>
                <w:b/>
              </w:rPr>
              <w:t>Summer</w:t>
            </w:r>
            <w:proofErr w:type="spellEnd"/>
            <w:r w:rsidRPr="00A44D5B">
              <w:rPr>
                <w:b/>
              </w:rPr>
              <w:t xml:space="preserve"> </w:t>
            </w:r>
            <w:proofErr w:type="spellStart"/>
            <w:r w:rsidRPr="00A44D5B">
              <w:rPr>
                <w:b/>
              </w:rPr>
              <w:t>Season</w:t>
            </w:r>
            <w:proofErr w:type="spellEnd"/>
            <w:r w:rsidRPr="00A44D5B">
              <w:rPr>
                <w:b/>
              </w:rPr>
              <w:t xml:space="preserve"> (</w:t>
            </w:r>
            <w:proofErr w:type="spellStart"/>
            <w:r w:rsidRPr="00A44D5B">
              <w:rPr>
                <w:b/>
              </w:rPr>
              <w:t>Total</w:t>
            </w:r>
            <w:proofErr w:type="spellEnd"/>
            <w:r w:rsidRPr="00A44D5B">
              <w:rPr>
                <w:b/>
              </w:rPr>
              <w:t xml:space="preserve"> ECTS15)</w:t>
            </w:r>
          </w:p>
        </w:tc>
      </w:tr>
      <w:tr w:rsidR="00FE3F0F" w:rsidRPr="00A44D5B" w:rsidTr="00FE3F0F">
        <w:tc>
          <w:tcPr>
            <w:tcW w:w="738"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r w:rsidRPr="00A44D5B">
              <w:rPr>
                <w:b/>
              </w:rPr>
              <w:t>A/A</w:t>
            </w:r>
          </w:p>
        </w:tc>
        <w:tc>
          <w:tcPr>
            <w:tcW w:w="3940"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Course</w:t>
            </w:r>
            <w:proofErr w:type="spellEnd"/>
            <w:r w:rsidRPr="00A44D5B">
              <w:rPr>
                <w:b/>
              </w:rPr>
              <w:t xml:space="preserve"> </w:t>
            </w:r>
            <w:proofErr w:type="spellStart"/>
            <w:r w:rsidRPr="00A44D5B">
              <w:rPr>
                <w:b/>
              </w:rPr>
              <w:t>Title</w:t>
            </w:r>
            <w:proofErr w:type="spellEnd"/>
          </w:p>
        </w:tc>
        <w:tc>
          <w:tcPr>
            <w:tcW w:w="2013"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Type</w:t>
            </w:r>
            <w:proofErr w:type="spellEnd"/>
            <w:r>
              <w:rPr>
                <w:b/>
              </w:rPr>
              <w:t xml:space="preserve"> of </w:t>
            </w:r>
            <w:proofErr w:type="spellStart"/>
            <w:r>
              <w:rPr>
                <w:b/>
              </w:rPr>
              <w:t>Work</w:t>
            </w:r>
            <w:proofErr w:type="spellEnd"/>
          </w:p>
        </w:tc>
        <w:tc>
          <w:tcPr>
            <w:tcW w:w="993"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proofErr w:type="spellStart"/>
            <w:r w:rsidRPr="00A44D5B">
              <w:rPr>
                <w:b/>
              </w:rPr>
              <w:t>Teaching</w:t>
            </w:r>
            <w:proofErr w:type="spellEnd"/>
            <w:r w:rsidRPr="00A44D5B">
              <w:rPr>
                <w:b/>
              </w:rPr>
              <w:t xml:space="preserve"> </w:t>
            </w:r>
            <w:proofErr w:type="spellStart"/>
            <w:r w:rsidRPr="00A44D5B">
              <w:rPr>
                <w:b/>
              </w:rPr>
              <w:t>hours</w:t>
            </w:r>
            <w:proofErr w:type="spellEnd"/>
          </w:p>
        </w:tc>
        <w:tc>
          <w:tcPr>
            <w:tcW w:w="959" w:type="dxa"/>
            <w:shd w:val="clear" w:color="auto" w:fill="DEEAF6"/>
          </w:tcPr>
          <w:p w:rsidR="00FE3F0F" w:rsidRPr="00A44D5B" w:rsidRDefault="00FE3F0F" w:rsidP="00FE3F0F">
            <w:pPr>
              <w:spacing w:before="120" w:after="120" w:line="259" w:lineRule="auto"/>
              <w:jc w:val="center"/>
              <w:rPr>
                <w:rFonts w:asciiTheme="majorHAnsi" w:eastAsia="Calibri" w:hAnsiTheme="majorHAnsi" w:cstheme="majorHAnsi"/>
                <w:b/>
              </w:rPr>
            </w:pPr>
            <w:r w:rsidRPr="00A44D5B">
              <w:rPr>
                <w:b/>
              </w:rPr>
              <w:t>E</w:t>
            </w:r>
            <w:r>
              <w:rPr>
                <w:b/>
              </w:rPr>
              <w:t>CTS</w:t>
            </w:r>
          </w:p>
        </w:tc>
      </w:tr>
      <w:tr w:rsidR="00FE3F0F" w:rsidRPr="00A44D5B" w:rsidTr="00FE3F0F">
        <w:tc>
          <w:tcPr>
            <w:tcW w:w="738" w:type="dxa"/>
            <w:shd w:val="clear" w:color="auto" w:fill="auto"/>
          </w:tcPr>
          <w:p w:rsidR="00FE3F0F" w:rsidRPr="00A44D5B" w:rsidRDefault="00FE3F0F" w:rsidP="00FE3F0F">
            <w:pPr>
              <w:spacing w:before="120" w:after="120" w:line="259" w:lineRule="auto"/>
              <w:rPr>
                <w:rFonts w:asciiTheme="majorHAnsi" w:eastAsia="Calibri" w:hAnsiTheme="majorHAnsi" w:cstheme="majorHAnsi"/>
              </w:rPr>
            </w:pPr>
            <w:r w:rsidRPr="00A44D5B">
              <w:t>1</w:t>
            </w:r>
          </w:p>
        </w:tc>
        <w:tc>
          <w:tcPr>
            <w:tcW w:w="3940" w:type="dxa"/>
            <w:shd w:val="clear" w:color="auto" w:fill="auto"/>
          </w:tcPr>
          <w:p w:rsidR="00FE3F0F" w:rsidRPr="00943146" w:rsidRDefault="00FE3F0F" w:rsidP="00FE3F0F">
            <w:pPr>
              <w:spacing w:before="120" w:after="120" w:line="259" w:lineRule="auto"/>
              <w:rPr>
                <w:rFonts w:asciiTheme="majorHAnsi" w:eastAsia="Calibri" w:hAnsiTheme="majorHAnsi" w:cstheme="majorHAnsi"/>
                <w:lang w:val="en-US"/>
              </w:rPr>
            </w:pPr>
            <w:proofErr w:type="spellStart"/>
            <w:r w:rsidRPr="00A44D5B">
              <w:t>Postgraduate</w:t>
            </w:r>
            <w:proofErr w:type="spellEnd"/>
            <w:r w:rsidRPr="001B0E48">
              <w:t xml:space="preserve"> </w:t>
            </w:r>
            <w:proofErr w:type="spellStart"/>
            <w:r w:rsidRPr="001B0E48">
              <w:t>Thesis</w:t>
            </w:r>
            <w:proofErr w:type="spellEnd"/>
          </w:p>
        </w:tc>
        <w:tc>
          <w:tcPr>
            <w:tcW w:w="201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r w:rsidRPr="00A44D5B">
              <w:t>Y</w:t>
            </w:r>
          </w:p>
        </w:tc>
        <w:tc>
          <w:tcPr>
            <w:tcW w:w="993"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rPr>
            </w:pPr>
          </w:p>
        </w:tc>
        <w:tc>
          <w:tcPr>
            <w:tcW w:w="959" w:type="dxa"/>
            <w:shd w:val="clear" w:color="auto" w:fill="auto"/>
          </w:tcPr>
          <w:p w:rsidR="00FE3F0F" w:rsidRPr="00A44D5B" w:rsidRDefault="00FE3F0F" w:rsidP="00FE3F0F">
            <w:pPr>
              <w:spacing w:before="120" w:after="120" w:line="259" w:lineRule="auto"/>
              <w:jc w:val="center"/>
              <w:rPr>
                <w:rFonts w:asciiTheme="majorHAnsi" w:eastAsia="Calibri" w:hAnsiTheme="majorHAnsi" w:cstheme="majorHAnsi"/>
                <w:highlight w:val="yellow"/>
              </w:rPr>
            </w:pPr>
            <w:r w:rsidRPr="00A44D5B">
              <w:t>15</w:t>
            </w:r>
          </w:p>
        </w:tc>
      </w:tr>
    </w:tbl>
    <w:p w:rsidR="00FE3F0F" w:rsidRDefault="00FE3F0F" w:rsidP="0007222B">
      <w:pPr>
        <w:spacing w:line="360" w:lineRule="auto"/>
        <w:jc w:val="both"/>
        <w:rPr>
          <w:lang w:val="en-GB"/>
        </w:rPr>
      </w:pPr>
    </w:p>
    <w:p w:rsidR="00DE71DA" w:rsidRPr="00DE71DA" w:rsidRDefault="00DE71DA" w:rsidP="0007222B">
      <w:pPr>
        <w:spacing w:line="360" w:lineRule="auto"/>
        <w:jc w:val="both"/>
        <w:rPr>
          <w:lang w:val="en-GB"/>
        </w:rPr>
      </w:pPr>
      <w:r>
        <w:rPr>
          <w:lang w:val="en-GB"/>
        </w:rPr>
        <w:t xml:space="preserve">Upon approval of the Faculty, employed </w:t>
      </w:r>
      <w:r w:rsidRPr="00DE71DA">
        <w:rPr>
          <w:lang w:val="en-GB"/>
        </w:rPr>
        <w:t xml:space="preserve">students may study </w:t>
      </w:r>
      <w:r w:rsidRPr="00DE71DA">
        <w:rPr>
          <w:u w:val="single"/>
          <w:lang w:val="en-GB"/>
        </w:rPr>
        <w:t>part-time</w:t>
      </w:r>
      <w:r>
        <w:rPr>
          <w:lang w:val="en-GB"/>
        </w:rPr>
        <w:t xml:space="preserve"> and complete the course in twenty four (24) months.</w:t>
      </w:r>
    </w:p>
    <w:p w:rsidR="00DE71DA" w:rsidRDefault="00DE71DA" w:rsidP="0007222B">
      <w:pPr>
        <w:spacing w:line="360" w:lineRule="auto"/>
        <w:jc w:val="both"/>
        <w:rPr>
          <w:lang w:val="en-GB"/>
        </w:rPr>
      </w:pPr>
    </w:p>
    <w:p w:rsidR="00F23FE2" w:rsidRPr="00C65528" w:rsidRDefault="00C65528" w:rsidP="0007222B">
      <w:pPr>
        <w:spacing w:line="360" w:lineRule="auto"/>
        <w:jc w:val="both"/>
        <w:rPr>
          <w:lang w:val="en-GB"/>
        </w:rPr>
      </w:pPr>
      <w:r w:rsidRPr="00DE71DA">
        <w:rPr>
          <w:u w:val="single"/>
          <w:lang w:val="en-GB"/>
        </w:rPr>
        <w:t>Tuition fees</w:t>
      </w:r>
      <w:r w:rsidRPr="00C65528">
        <w:rPr>
          <w:lang w:val="en-GB"/>
        </w:rPr>
        <w:t xml:space="preserve">: </w:t>
      </w:r>
      <w:r>
        <w:rPr>
          <w:lang w:val="en-GB"/>
        </w:rPr>
        <w:t xml:space="preserve">4.000 euros, payable in two </w:t>
      </w:r>
      <w:r w:rsidR="00DE71DA">
        <w:rPr>
          <w:lang w:val="en-GB"/>
        </w:rPr>
        <w:t xml:space="preserve">instalments. Two scholarships amounting to 1.000 euros each are awarded, as a reduction of the second instalment. </w:t>
      </w:r>
      <w:r w:rsidR="00384F2D">
        <w:rPr>
          <w:lang w:val="en-GB"/>
        </w:rPr>
        <w:t xml:space="preserve"> </w:t>
      </w:r>
    </w:p>
    <w:p w:rsidR="001975D9" w:rsidRDefault="001975D9" w:rsidP="0007222B">
      <w:pPr>
        <w:spacing w:line="360" w:lineRule="auto"/>
        <w:jc w:val="both"/>
        <w:rPr>
          <w:b/>
          <w:lang w:val="en-GB"/>
        </w:rPr>
      </w:pPr>
    </w:p>
    <w:p w:rsidR="00F23FE2" w:rsidRDefault="00DE71DA" w:rsidP="0007222B">
      <w:pPr>
        <w:spacing w:line="360" w:lineRule="auto"/>
        <w:jc w:val="both"/>
        <w:rPr>
          <w:b/>
          <w:lang w:val="en-GB"/>
        </w:rPr>
      </w:pPr>
      <w:r>
        <w:rPr>
          <w:b/>
          <w:lang w:val="en-GB"/>
        </w:rPr>
        <w:t>Applications</w:t>
      </w:r>
    </w:p>
    <w:p w:rsidR="00EC7BDF" w:rsidRDefault="00EC7BDF" w:rsidP="0007222B">
      <w:pPr>
        <w:spacing w:line="360" w:lineRule="auto"/>
        <w:jc w:val="both"/>
        <w:rPr>
          <w:lang w:val="en-GB"/>
        </w:rPr>
      </w:pPr>
      <w:r>
        <w:rPr>
          <w:lang w:val="en-GB"/>
        </w:rPr>
        <w:lastRenderedPageBreak/>
        <w:t xml:space="preserve">Applications and supporting documents must be submitted </w:t>
      </w:r>
      <w:r w:rsidRPr="00EC7BDF">
        <w:rPr>
          <w:u w:val="single"/>
          <w:lang w:val="en-GB"/>
        </w:rPr>
        <w:t>by post</w:t>
      </w:r>
      <w:r>
        <w:rPr>
          <w:lang w:val="en-GB"/>
        </w:rPr>
        <w:t xml:space="preserve"> at the following address:</w:t>
      </w:r>
    </w:p>
    <w:p w:rsidR="00EC7BDF" w:rsidRDefault="00EC7BDF" w:rsidP="0007222B">
      <w:pPr>
        <w:spacing w:line="360" w:lineRule="auto"/>
        <w:jc w:val="both"/>
        <w:rPr>
          <w:lang w:val="en-GB"/>
        </w:rPr>
      </w:pPr>
    </w:p>
    <w:p w:rsidR="00EC7BDF" w:rsidRDefault="00EC7BDF" w:rsidP="0007222B">
      <w:pPr>
        <w:spacing w:line="360" w:lineRule="auto"/>
        <w:jc w:val="both"/>
        <w:rPr>
          <w:lang w:val="en-GB"/>
        </w:rPr>
      </w:pPr>
      <w:r>
        <w:rPr>
          <w:lang w:val="en-GB"/>
        </w:rPr>
        <w:t>Aristotle University of Thessaloniki</w:t>
      </w:r>
    </w:p>
    <w:p w:rsidR="00EC7BDF" w:rsidRDefault="00EC7BDF" w:rsidP="0007222B">
      <w:pPr>
        <w:spacing w:line="360" w:lineRule="auto"/>
        <w:jc w:val="both"/>
        <w:rPr>
          <w:lang w:val="en-GB"/>
        </w:rPr>
      </w:pPr>
      <w:r>
        <w:rPr>
          <w:lang w:val="en-GB"/>
        </w:rPr>
        <w:t>Faculty of Law</w:t>
      </w:r>
    </w:p>
    <w:p w:rsidR="00EC7BDF" w:rsidRDefault="00EC7BDF" w:rsidP="0007222B">
      <w:pPr>
        <w:spacing w:line="360" w:lineRule="auto"/>
        <w:jc w:val="both"/>
        <w:rPr>
          <w:lang w:val="en-GB"/>
        </w:rPr>
      </w:pPr>
      <w:r>
        <w:rPr>
          <w:lang w:val="en-GB"/>
        </w:rPr>
        <w:t>54124 Thessaloniki Greece</w:t>
      </w:r>
    </w:p>
    <w:p w:rsidR="00EC7BDF" w:rsidRDefault="00EC7BDF" w:rsidP="0007222B">
      <w:pPr>
        <w:spacing w:line="360" w:lineRule="auto"/>
        <w:jc w:val="both"/>
        <w:rPr>
          <w:lang w:val="en-GB"/>
        </w:rPr>
      </w:pPr>
      <w:proofErr w:type="gramStart"/>
      <w:r>
        <w:rPr>
          <w:lang w:val="en-GB"/>
        </w:rPr>
        <w:t>and</w:t>
      </w:r>
      <w:proofErr w:type="gramEnd"/>
      <w:r>
        <w:rPr>
          <w:lang w:val="en-GB"/>
        </w:rPr>
        <w:t xml:space="preserve"> the envelope must also bear the following notice: </w:t>
      </w:r>
      <w:r w:rsidRPr="00EC7BDF">
        <w:rPr>
          <w:u w:val="single"/>
          <w:lang w:val="en-GB"/>
        </w:rPr>
        <w:t>“LL.M. Application”</w:t>
      </w:r>
      <w:r>
        <w:rPr>
          <w:lang w:val="en-GB"/>
        </w:rPr>
        <w:t>.</w:t>
      </w:r>
    </w:p>
    <w:p w:rsidR="00B11C4E" w:rsidRDefault="00B11C4E" w:rsidP="0007222B">
      <w:pPr>
        <w:spacing w:line="360" w:lineRule="auto"/>
        <w:jc w:val="both"/>
        <w:rPr>
          <w:lang w:val="en-GB"/>
        </w:rPr>
      </w:pPr>
    </w:p>
    <w:p w:rsidR="00EC7BDF" w:rsidRDefault="00EC7BDF" w:rsidP="0007222B">
      <w:pPr>
        <w:spacing w:line="360" w:lineRule="auto"/>
        <w:jc w:val="both"/>
        <w:rPr>
          <w:lang w:val="en-GB"/>
        </w:rPr>
      </w:pPr>
      <w:r>
        <w:rPr>
          <w:lang w:val="en-GB"/>
        </w:rPr>
        <w:t>Applications and supporting documents must be handed over b</w:t>
      </w:r>
      <w:r w:rsidR="00176978">
        <w:rPr>
          <w:lang w:val="en-GB"/>
        </w:rPr>
        <w:t xml:space="preserve">y the applicant to the post by </w:t>
      </w:r>
      <w:r w:rsidR="00176978" w:rsidRPr="00176978">
        <w:rPr>
          <w:lang w:val="en-US"/>
        </w:rPr>
        <w:t>30</w:t>
      </w:r>
      <w:proofErr w:type="spellStart"/>
      <w:r w:rsidRPr="00EC7BDF">
        <w:rPr>
          <w:vertAlign w:val="superscript"/>
          <w:lang w:val="en-GB"/>
        </w:rPr>
        <w:t>th</w:t>
      </w:r>
      <w:proofErr w:type="spellEnd"/>
      <w:r>
        <w:rPr>
          <w:lang w:val="en-GB"/>
        </w:rPr>
        <w:t xml:space="preserve"> June 2021 at the latest, as evidenced by the post stamp. Later applications are not admissible.</w:t>
      </w:r>
    </w:p>
    <w:p w:rsidR="00EC7BDF" w:rsidRDefault="00A97B38" w:rsidP="0007222B">
      <w:pPr>
        <w:spacing w:line="360" w:lineRule="auto"/>
        <w:jc w:val="both"/>
        <w:rPr>
          <w:lang w:val="en-GB"/>
        </w:rPr>
      </w:pPr>
      <w:r>
        <w:rPr>
          <w:lang w:val="en-GB"/>
        </w:rPr>
        <w:t xml:space="preserve">Moreover, applicants must inform the Faculty, by </w:t>
      </w:r>
      <w:r w:rsidR="00EC7BDF">
        <w:rPr>
          <w:lang w:val="en-GB"/>
        </w:rPr>
        <w:t xml:space="preserve">e-mail to: </w:t>
      </w:r>
      <w:r w:rsidR="00176978" w:rsidRPr="00176978">
        <w:rPr>
          <w:rFonts w:ascii="Arial" w:hAnsi="Arial" w:cs="Arial"/>
          <w:color w:val="000000"/>
          <w:sz w:val="21"/>
          <w:szCs w:val="21"/>
          <w:shd w:val="clear" w:color="auto" w:fill="F1F1F1"/>
          <w:lang w:val="en-US"/>
        </w:rPr>
        <w:t> </w:t>
      </w:r>
      <w:hyperlink r:id="rId9" w:history="1">
        <w:r w:rsidR="00176978" w:rsidRPr="00176978">
          <w:rPr>
            <w:rStyle w:val="-"/>
            <w:shd w:val="clear" w:color="auto" w:fill="F1F1F1"/>
            <w:lang w:val="en-US"/>
          </w:rPr>
          <w:t>dtournas@law.auth.gr</w:t>
        </w:r>
      </w:hyperlink>
      <w:r w:rsidR="00176978" w:rsidRPr="00176978">
        <w:rPr>
          <w:color w:val="000000"/>
          <w:shd w:val="clear" w:color="auto" w:fill="F1F1F1"/>
          <w:lang w:val="en-US"/>
        </w:rPr>
        <w:t xml:space="preserve"> </w:t>
      </w:r>
      <w:r>
        <w:rPr>
          <w:lang w:val="en-GB"/>
        </w:rPr>
        <w:t xml:space="preserve">and no later than </w:t>
      </w:r>
      <w:r w:rsidR="00176978" w:rsidRPr="00176978">
        <w:rPr>
          <w:lang w:val="en-US"/>
        </w:rPr>
        <w:t>30</w:t>
      </w:r>
      <w:proofErr w:type="spellStart"/>
      <w:r w:rsidRPr="00EC7BDF">
        <w:rPr>
          <w:vertAlign w:val="superscript"/>
          <w:lang w:val="en-GB"/>
        </w:rPr>
        <w:t>th</w:t>
      </w:r>
      <w:proofErr w:type="spellEnd"/>
      <w:r>
        <w:rPr>
          <w:lang w:val="en-GB"/>
        </w:rPr>
        <w:t xml:space="preserve"> June </w:t>
      </w:r>
      <w:proofErr w:type="gramStart"/>
      <w:r>
        <w:rPr>
          <w:lang w:val="en-GB"/>
        </w:rPr>
        <w:t>2021</w:t>
      </w:r>
      <w:r>
        <w:rPr>
          <w:lang w:val="de-DE"/>
        </w:rPr>
        <w:t>,</w:t>
      </w:r>
      <w:r w:rsidR="00EC7BDF" w:rsidRPr="00EC7BDF">
        <w:rPr>
          <w:lang w:val="en-GB"/>
        </w:rPr>
        <w:t xml:space="preserve"> that</w:t>
      </w:r>
      <w:proofErr w:type="gramEnd"/>
      <w:r w:rsidR="00EC7BDF" w:rsidRPr="00EC7BDF">
        <w:rPr>
          <w:lang w:val="en-GB"/>
        </w:rPr>
        <w:t xml:space="preserve"> the application has been sent by post.</w:t>
      </w:r>
    </w:p>
    <w:p w:rsidR="00A97B38" w:rsidRDefault="00A97B38" w:rsidP="0007222B">
      <w:pPr>
        <w:spacing w:line="360" w:lineRule="auto"/>
        <w:jc w:val="both"/>
        <w:rPr>
          <w:lang w:val="en-GB"/>
        </w:rPr>
      </w:pPr>
    </w:p>
    <w:p w:rsidR="00A97B38" w:rsidRPr="006D2455" w:rsidRDefault="00A97B38" w:rsidP="000A657A">
      <w:pPr>
        <w:spacing w:before="120" w:after="120" w:line="360" w:lineRule="auto"/>
        <w:jc w:val="both"/>
        <w:rPr>
          <w:lang w:val="en-GB"/>
        </w:rPr>
      </w:pPr>
      <w:r w:rsidRPr="00A65091">
        <w:rPr>
          <w:lang w:val="en-US"/>
        </w:rPr>
        <w:t xml:space="preserve">In particular, applicants will submit in the manner and at the time stated above </w:t>
      </w:r>
      <w:r w:rsidR="000A657A" w:rsidRPr="00A65091">
        <w:rPr>
          <w:lang w:val="en-US"/>
        </w:rPr>
        <w:t>the</w:t>
      </w:r>
      <w:r w:rsidRPr="00A65091">
        <w:rPr>
          <w:lang w:val="en-US"/>
        </w:rPr>
        <w:t xml:space="preserve"> documents</w:t>
      </w:r>
      <w:r w:rsidR="000A657A" w:rsidRPr="00A65091">
        <w:rPr>
          <w:lang w:val="en-US"/>
        </w:rPr>
        <w:t xml:space="preserve"> listed below</w:t>
      </w:r>
      <w:r w:rsidR="006D2455">
        <w:rPr>
          <w:lang w:val="en-GB"/>
        </w:rPr>
        <w:t>. Candidates may submit simple copies of d</w:t>
      </w:r>
      <w:r w:rsidR="006D2455" w:rsidRPr="006D2455">
        <w:rPr>
          <w:lang w:val="en-GB"/>
        </w:rPr>
        <w:t>ocuments issued by Greek public authorit</w:t>
      </w:r>
      <w:r w:rsidR="006D2455">
        <w:rPr>
          <w:lang w:val="en-GB"/>
        </w:rPr>
        <w:t>i</w:t>
      </w:r>
      <w:r w:rsidR="006D2455" w:rsidRPr="006D2455">
        <w:rPr>
          <w:lang w:val="en-GB"/>
        </w:rPr>
        <w:t>es</w:t>
      </w:r>
      <w:r w:rsidR="006D2455">
        <w:rPr>
          <w:lang w:val="en-GB"/>
        </w:rPr>
        <w:t xml:space="preserve">. Copies of documents issued in Greece by parties other than public authorities must be certified by an attorney-at-law. </w:t>
      </w:r>
      <w:r w:rsidR="006D2455" w:rsidRPr="00384F2D">
        <w:rPr>
          <w:lang w:val="en-GB"/>
        </w:rPr>
        <w:t xml:space="preserve">Documents issued abroad must be submitted in </w:t>
      </w:r>
      <w:r w:rsidR="000A657A" w:rsidRPr="00384F2D">
        <w:rPr>
          <w:lang w:val="en-GB"/>
        </w:rPr>
        <w:t>copies certified by an appropriate authority</w:t>
      </w:r>
      <w:r w:rsidR="006D2455" w:rsidRPr="00384F2D">
        <w:rPr>
          <w:lang w:val="en-GB"/>
        </w:rPr>
        <w:t>.</w:t>
      </w:r>
      <w:r w:rsidR="00384F2D">
        <w:rPr>
          <w:lang w:val="en-GB"/>
        </w:rPr>
        <w:t xml:space="preserve"> </w:t>
      </w:r>
      <w:r w:rsidR="000A657A">
        <w:rPr>
          <w:lang w:val="en-GB"/>
        </w:rPr>
        <w:t xml:space="preserve">Moreover, documents are accepted in </w:t>
      </w:r>
      <w:r w:rsidR="000A657A" w:rsidRPr="00A65091">
        <w:rPr>
          <w:lang w:val="en-US"/>
        </w:rPr>
        <w:t xml:space="preserve">Greek or English. Thus, </w:t>
      </w:r>
      <w:r w:rsidR="000A657A" w:rsidRPr="006D2455">
        <w:rPr>
          <w:lang w:val="en-GB"/>
        </w:rPr>
        <w:t>in case they are available to the applicant in a third language</w:t>
      </w:r>
      <w:r w:rsidR="000A657A">
        <w:rPr>
          <w:lang w:val="en-GB"/>
        </w:rPr>
        <w:t>,</w:t>
      </w:r>
      <w:r w:rsidR="000A657A" w:rsidRPr="00A65091">
        <w:rPr>
          <w:lang w:val="en-US"/>
        </w:rPr>
        <w:t xml:space="preserve"> they must be translated by </w:t>
      </w:r>
      <w:r w:rsidR="000A657A" w:rsidRPr="006D2455">
        <w:rPr>
          <w:lang w:val="en-GB"/>
        </w:rPr>
        <w:t>an author</w:t>
      </w:r>
      <w:r w:rsidR="000A657A">
        <w:rPr>
          <w:lang w:val="en-GB"/>
        </w:rPr>
        <w:t>ized translator, and the applicant must submit both the document and its translation. The documents to be submitted are:</w:t>
      </w:r>
    </w:p>
    <w:p w:rsidR="00A97B38" w:rsidRPr="00605800" w:rsidRDefault="00A97B38" w:rsidP="000A657A">
      <w:pPr>
        <w:spacing w:before="120" w:after="120" w:line="360" w:lineRule="auto"/>
        <w:ind w:firstLine="709"/>
        <w:jc w:val="both"/>
        <w:rPr>
          <w:lang w:val="en-US"/>
        </w:rPr>
      </w:pPr>
      <w:r w:rsidRPr="00A65091">
        <w:rPr>
          <w:lang w:val="en-US"/>
        </w:rPr>
        <w:t>a) Application to participate in the Program including the e-mail address through which the LL.M. Program Registrar will be able to communicate with the candidate.</w:t>
      </w:r>
    </w:p>
    <w:p w:rsidR="00A97B38" w:rsidRPr="00605800" w:rsidRDefault="00A97B38" w:rsidP="000A657A">
      <w:pPr>
        <w:spacing w:before="120" w:after="120" w:line="360" w:lineRule="auto"/>
        <w:ind w:firstLine="680"/>
        <w:jc w:val="both"/>
        <w:rPr>
          <w:lang w:val="en-US"/>
        </w:rPr>
      </w:pPr>
      <w:r w:rsidRPr="00A65091">
        <w:rPr>
          <w:lang w:val="en-US"/>
        </w:rPr>
        <w:t>b) A photocopy of the identity card or passport.</w:t>
      </w:r>
    </w:p>
    <w:p w:rsidR="00A97B38" w:rsidRPr="00605800" w:rsidRDefault="00A97B38" w:rsidP="000A657A">
      <w:pPr>
        <w:spacing w:before="120" w:after="120" w:line="360" w:lineRule="auto"/>
        <w:ind w:firstLine="709"/>
        <w:jc w:val="both"/>
        <w:rPr>
          <w:lang w:val="en-US"/>
        </w:rPr>
      </w:pPr>
      <w:r w:rsidRPr="00A65091">
        <w:rPr>
          <w:lang w:val="en-US"/>
        </w:rPr>
        <w:t>c) A copy of the</w:t>
      </w:r>
      <w:r w:rsidR="00384F2D" w:rsidRPr="00A65091">
        <w:rPr>
          <w:lang w:val="en-US"/>
        </w:rPr>
        <w:t xml:space="preserve"> </w:t>
      </w:r>
      <w:r w:rsidRPr="00A65091">
        <w:rPr>
          <w:lang w:val="en-US"/>
        </w:rPr>
        <w:t xml:space="preserve">undergraduate degree awarded by Law School Faculties of Greek universities or </w:t>
      </w:r>
      <w:r w:rsidRPr="00A65091">
        <w:rPr>
          <w:color w:val="000000"/>
          <w:lang w:val="en-US"/>
        </w:rPr>
        <w:t>similar institutions abroad.</w:t>
      </w:r>
    </w:p>
    <w:p w:rsidR="00A97B38" w:rsidRPr="00605800" w:rsidRDefault="00A97B38" w:rsidP="000A657A">
      <w:pPr>
        <w:spacing w:before="120" w:after="120" w:line="360" w:lineRule="auto"/>
        <w:ind w:firstLine="720"/>
        <w:jc w:val="both"/>
        <w:rPr>
          <w:lang w:val="en-US"/>
        </w:rPr>
      </w:pPr>
      <w:r w:rsidRPr="00A65091">
        <w:rPr>
          <w:lang w:val="en-US"/>
        </w:rPr>
        <w:t>d) A certificate of study (transcript) with the</w:t>
      </w:r>
      <w:r w:rsidR="00384F2D" w:rsidRPr="00A65091">
        <w:rPr>
          <w:lang w:val="en-US"/>
        </w:rPr>
        <w:t xml:space="preserve"> </w:t>
      </w:r>
      <w:r w:rsidRPr="00A65091">
        <w:rPr>
          <w:lang w:val="en-US"/>
        </w:rPr>
        <w:t>detailed</w:t>
      </w:r>
      <w:r w:rsidR="00384F2D" w:rsidRPr="00A65091">
        <w:rPr>
          <w:lang w:val="en-US"/>
        </w:rPr>
        <w:t xml:space="preserve"> </w:t>
      </w:r>
      <w:r w:rsidRPr="00A65091">
        <w:rPr>
          <w:lang w:val="en-US"/>
        </w:rPr>
        <w:t>grades of all undergraduate courses, including the exact grade of the degree conferred.</w:t>
      </w:r>
    </w:p>
    <w:p w:rsidR="00A97B38" w:rsidRPr="00605800" w:rsidRDefault="00A97B38" w:rsidP="000A657A">
      <w:pPr>
        <w:spacing w:before="120" w:after="120" w:line="360" w:lineRule="auto"/>
        <w:ind w:firstLine="680"/>
        <w:jc w:val="both"/>
        <w:rPr>
          <w:lang w:val="en-US"/>
        </w:rPr>
      </w:pPr>
      <w:r w:rsidRPr="00A65091">
        <w:rPr>
          <w:lang w:val="en-US"/>
        </w:rPr>
        <w:lastRenderedPageBreak/>
        <w:t>e) A Curriculum Vitae detailing the candidate's studies, professional experience and scientific and social activity.</w:t>
      </w:r>
    </w:p>
    <w:p w:rsidR="00A97B38" w:rsidRPr="00605800" w:rsidRDefault="00A97B38" w:rsidP="000A657A">
      <w:pPr>
        <w:spacing w:before="120" w:after="120" w:line="360" w:lineRule="auto"/>
        <w:ind w:firstLine="720"/>
        <w:jc w:val="both"/>
        <w:rPr>
          <w:lang w:val="en-US"/>
        </w:rPr>
      </w:pPr>
      <w:r w:rsidRPr="00A65091">
        <w:rPr>
          <w:lang w:val="en-US"/>
        </w:rPr>
        <w:t xml:space="preserve">f) A Certificate of very good (C1 level) or excellent knowledge (level C2) of the English language, in accordance with the Council of Europe’s system, which is accepted </w:t>
      </w:r>
      <w:proofErr w:type="spellStart"/>
      <w:r w:rsidRPr="00A65091">
        <w:rPr>
          <w:lang w:val="en-US"/>
        </w:rPr>
        <w:t>by</w:t>
      </w:r>
      <w:r>
        <w:rPr>
          <w:lang w:val="en-US"/>
        </w:rPr>
        <w:t>the</w:t>
      </w:r>
      <w:proofErr w:type="spellEnd"/>
      <w:r>
        <w:rPr>
          <w:lang w:val="en-US"/>
        </w:rPr>
        <w:t xml:space="preserve"> Supreme Council for Civil Personnel Selection (ASEP) in Greece.</w:t>
      </w:r>
      <w:r w:rsidRPr="00605800">
        <w:rPr>
          <w:lang w:val="en-US"/>
        </w:rPr>
        <w:t xml:space="preserve"> Alternatively, a diploma or postgraduate diploma </w:t>
      </w:r>
      <w:r w:rsidRPr="00A65091">
        <w:rPr>
          <w:lang w:val="en-US"/>
        </w:rPr>
        <w:t xml:space="preserve">from Law School Faculties of </w:t>
      </w:r>
      <w:proofErr w:type="spellStart"/>
      <w:r w:rsidRPr="00A65091">
        <w:rPr>
          <w:lang w:val="en-US"/>
        </w:rPr>
        <w:t>Greekuniversities</w:t>
      </w:r>
      <w:proofErr w:type="spellEnd"/>
      <w:r w:rsidRPr="00A65091">
        <w:rPr>
          <w:lang w:val="en-US"/>
        </w:rPr>
        <w:t xml:space="preserve"> or </w:t>
      </w:r>
      <w:r w:rsidRPr="00A65091">
        <w:rPr>
          <w:color w:val="000000"/>
          <w:lang w:val="en-US"/>
        </w:rPr>
        <w:t>similar institutions abroad may be submitted, which proves the successful completion of an undergraduate or postgraduate program.</w:t>
      </w:r>
    </w:p>
    <w:p w:rsidR="00A97B38" w:rsidRPr="00A55A3B" w:rsidRDefault="00A97B38" w:rsidP="003D260E">
      <w:pPr>
        <w:spacing w:before="120" w:after="120" w:line="360" w:lineRule="auto"/>
        <w:jc w:val="both"/>
        <w:rPr>
          <w:lang w:val="en-US"/>
        </w:rPr>
      </w:pPr>
      <w:r w:rsidRPr="00A65091">
        <w:rPr>
          <w:lang w:val="en-US"/>
        </w:rPr>
        <w:t>In addition to the aforementioned documents, the applicant shall submit the following supporting documents, if they are available:</w:t>
      </w:r>
    </w:p>
    <w:p w:rsidR="00A97B38" w:rsidRPr="00605800" w:rsidRDefault="00A97B38" w:rsidP="000A657A">
      <w:pPr>
        <w:spacing w:before="120" w:after="120" w:line="360" w:lineRule="auto"/>
        <w:ind w:firstLine="720"/>
        <w:jc w:val="both"/>
        <w:rPr>
          <w:lang w:val="en-US"/>
        </w:rPr>
      </w:pPr>
      <w:r w:rsidRPr="00A65091">
        <w:rPr>
          <w:lang w:val="en-US"/>
        </w:rPr>
        <w:t xml:space="preserve">a) A diploma or diplomas of postgraduate studies conferred by a Greek university or </w:t>
      </w:r>
      <w:r w:rsidRPr="00A65091">
        <w:rPr>
          <w:color w:val="000000"/>
          <w:lang w:val="en-US"/>
        </w:rPr>
        <w:t>similar institute abroad.</w:t>
      </w:r>
    </w:p>
    <w:p w:rsidR="00A97B38" w:rsidRPr="00605800" w:rsidRDefault="00A97B38" w:rsidP="000A657A">
      <w:pPr>
        <w:spacing w:before="120" w:after="120" w:line="360" w:lineRule="auto"/>
        <w:ind w:firstLine="720"/>
        <w:jc w:val="both"/>
        <w:rPr>
          <w:lang w:val="en-US"/>
        </w:rPr>
      </w:pPr>
      <w:r w:rsidRPr="00A65091">
        <w:rPr>
          <w:lang w:val="en-US"/>
        </w:rPr>
        <w:t>b) Ph.D. degree from a Greek university or a similar institution abroad.</w:t>
      </w:r>
    </w:p>
    <w:p w:rsidR="00A97B38" w:rsidRPr="00605800" w:rsidRDefault="00A97B38" w:rsidP="000A657A">
      <w:pPr>
        <w:spacing w:before="120" w:after="120" w:line="360" w:lineRule="auto"/>
        <w:ind w:firstLine="720"/>
        <w:jc w:val="both"/>
        <w:rPr>
          <w:b/>
          <w:lang w:val="en-US"/>
        </w:rPr>
      </w:pPr>
      <w:r w:rsidRPr="00A65091">
        <w:rPr>
          <w:lang w:val="en-US"/>
        </w:rPr>
        <w:t>c) Certificates for possible very good knowledge of French, German, Italian, Spanish or Russian. If the candidate is non-Greek, they may submit certifications of competency in Greek as well.</w:t>
      </w:r>
    </w:p>
    <w:p w:rsidR="00A97B38" w:rsidRPr="00A65091" w:rsidRDefault="00A97B38" w:rsidP="000A657A">
      <w:pPr>
        <w:spacing w:before="120" w:after="120" w:line="360" w:lineRule="auto"/>
        <w:ind w:firstLine="720"/>
        <w:jc w:val="both"/>
        <w:rPr>
          <w:lang w:val="en-US"/>
        </w:rPr>
      </w:pPr>
      <w:r w:rsidRPr="00A65091">
        <w:rPr>
          <w:lang w:val="en-US"/>
        </w:rPr>
        <w:t>d) Documentary evidence of any research and writing activity, participation in student mobility training programs and professional experience of a legal or related nature.</w:t>
      </w:r>
    </w:p>
    <w:p w:rsidR="003D260E" w:rsidRPr="00A65091" w:rsidRDefault="003D260E" w:rsidP="000A657A">
      <w:pPr>
        <w:spacing w:before="120" w:after="120" w:line="360" w:lineRule="auto"/>
        <w:ind w:firstLine="720"/>
        <w:jc w:val="both"/>
        <w:rPr>
          <w:lang w:val="en-US"/>
        </w:rPr>
      </w:pPr>
      <w:r w:rsidRPr="00A65091">
        <w:rPr>
          <w:lang w:val="en-US"/>
        </w:rPr>
        <w:t>Candidates who have not obtained their undergraduate degree yet, but expect to do so, may submit the documents listed above except for the undergraduate degree. If selected, their selection will be provisional on their submitting, by 31</w:t>
      </w:r>
      <w:r w:rsidRPr="00A65091">
        <w:rPr>
          <w:vertAlign w:val="superscript"/>
          <w:lang w:val="en-US"/>
        </w:rPr>
        <w:t>st</w:t>
      </w:r>
      <w:r w:rsidRPr="00A65091">
        <w:rPr>
          <w:lang w:val="en-US"/>
        </w:rPr>
        <w:t xml:space="preserve"> August 2021, the undergraduate degree, or at least a certificate from their Faculty that they have completed all requirements for obtaining the degree.</w:t>
      </w:r>
    </w:p>
    <w:p w:rsidR="00A97B38" w:rsidRPr="00A65091" w:rsidRDefault="00A97B38" w:rsidP="000A657A">
      <w:pPr>
        <w:spacing w:before="120" w:after="120" w:line="360" w:lineRule="auto"/>
        <w:ind w:firstLine="720"/>
        <w:jc w:val="both"/>
        <w:rPr>
          <w:lang w:val="en-US"/>
        </w:rPr>
      </w:pPr>
    </w:p>
    <w:p w:rsidR="001975D9" w:rsidRPr="001975D9" w:rsidRDefault="001975D9" w:rsidP="000A657A">
      <w:pPr>
        <w:spacing w:before="120" w:after="120" w:line="360" w:lineRule="auto"/>
        <w:jc w:val="both"/>
        <w:rPr>
          <w:b/>
        </w:rPr>
      </w:pPr>
      <w:proofErr w:type="spellStart"/>
      <w:r>
        <w:rPr>
          <w:b/>
        </w:rPr>
        <w:t>Selection</w:t>
      </w:r>
      <w:proofErr w:type="spellEnd"/>
      <w:r>
        <w:rPr>
          <w:b/>
        </w:rPr>
        <w:t xml:space="preserve"> </w:t>
      </w:r>
      <w:proofErr w:type="spellStart"/>
      <w:r>
        <w:rPr>
          <w:b/>
        </w:rPr>
        <w:t>procedure</w:t>
      </w:r>
      <w:proofErr w:type="spellEnd"/>
      <w:r>
        <w:rPr>
          <w:b/>
        </w:rPr>
        <w:t xml:space="preserve"> and </w:t>
      </w:r>
      <w:proofErr w:type="spellStart"/>
      <w:r>
        <w:rPr>
          <w:b/>
        </w:rPr>
        <w:t>criteria</w:t>
      </w:r>
      <w:proofErr w:type="spellEnd"/>
    </w:p>
    <w:p w:rsidR="001975D9" w:rsidRPr="006D2455" w:rsidRDefault="001975D9" w:rsidP="000A657A">
      <w:pPr>
        <w:numPr>
          <w:ilvl w:val="0"/>
          <w:numId w:val="1"/>
        </w:numPr>
        <w:suppressAutoHyphens/>
        <w:spacing w:before="120" w:after="120" w:line="360" w:lineRule="auto"/>
        <w:jc w:val="both"/>
        <w:rPr>
          <w:lang w:val="en-GB"/>
        </w:rPr>
      </w:pPr>
      <w:r w:rsidRPr="00A65091">
        <w:rPr>
          <w:lang w:val="en-US"/>
        </w:rPr>
        <w:t xml:space="preserve">Candidates shall be </w:t>
      </w:r>
      <w:r w:rsidRPr="006D2455">
        <w:rPr>
          <w:lang w:val="en-GB"/>
        </w:rPr>
        <w:t xml:space="preserve">evaluated in </w:t>
      </w:r>
      <w:r w:rsidRPr="006D2455">
        <w:rPr>
          <w:u w:val="single"/>
          <w:lang w:val="en-GB"/>
        </w:rPr>
        <w:t>three stages</w:t>
      </w:r>
      <w:r w:rsidRPr="006D2455">
        <w:rPr>
          <w:lang w:val="en-GB"/>
        </w:rPr>
        <w:t xml:space="preserve">: </w:t>
      </w:r>
      <w:r w:rsidR="006D2455" w:rsidRPr="006D2455">
        <w:rPr>
          <w:lang w:val="en-GB"/>
        </w:rPr>
        <w:t xml:space="preserve">completeness review, </w:t>
      </w:r>
      <w:r w:rsidR="006D2455">
        <w:rPr>
          <w:lang w:val="en-GB"/>
        </w:rPr>
        <w:t>evaluation of submitted documents, oral interview</w:t>
      </w:r>
      <w:r w:rsidRPr="006D2455">
        <w:rPr>
          <w:lang w:val="en-GB"/>
        </w:rPr>
        <w:t>.</w:t>
      </w:r>
    </w:p>
    <w:p w:rsidR="001975D9" w:rsidRPr="00605800" w:rsidRDefault="001975D9" w:rsidP="000A657A">
      <w:pPr>
        <w:numPr>
          <w:ilvl w:val="0"/>
          <w:numId w:val="1"/>
        </w:numPr>
        <w:suppressAutoHyphens/>
        <w:spacing w:before="120" w:after="120" w:line="360" w:lineRule="auto"/>
        <w:jc w:val="both"/>
        <w:rPr>
          <w:lang w:val="en-US"/>
        </w:rPr>
      </w:pPr>
      <w:r w:rsidRPr="00A65091">
        <w:rPr>
          <w:lang w:val="en-US"/>
        </w:rPr>
        <w:t xml:space="preserve">In the </w:t>
      </w:r>
      <w:r w:rsidRPr="00A65091">
        <w:rPr>
          <w:u w:val="single"/>
          <w:lang w:val="en-US"/>
        </w:rPr>
        <w:t>first stage</w:t>
      </w:r>
      <w:r w:rsidRPr="00A65091">
        <w:rPr>
          <w:lang w:val="en-US"/>
        </w:rPr>
        <w:t xml:space="preserve">, the Program Registrar checks the completeness of the supporting documents and draws up a list of candidates who have submitted all the supporting documents within the allotted deadline. Any doubts or disputes shall be resolved by the </w:t>
      </w:r>
      <w:proofErr w:type="spellStart"/>
      <w:r w:rsidR="00741D9B" w:rsidRPr="00A65091">
        <w:rPr>
          <w:lang w:val="en-US"/>
        </w:rPr>
        <w:t>Steeering</w:t>
      </w:r>
      <w:proofErr w:type="spellEnd"/>
      <w:r w:rsidR="00741D9B" w:rsidRPr="00A65091">
        <w:rPr>
          <w:lang w:val="en-US"/>
        </w:rPr>
        <w:t xml:space="preserve"> Committee of the </w:t>
      </w:r>
      <w:proofErr w:type="spellStart"/>
      <w:r w:rsidR="00741D9B" w:rsidRPr="00A65091">
        <w:rPr>
          <w:lang w:val="en-US"/>
        </w:rPr>
        <w:t>Programme</w:t>
      </w:r>
      <w:proofErr w:type="spellEnd"/>
      <w:r w:rsidR="00741D9B" w:rsidRPr="00A65091">
        <w:rPr>
          <w:lang w:val="en-US"/>
        </w:rPr>
        <w:t xml:space="preserve"> (henceforth: </w:t>
      </w:r>
      <w:r w:rsidRPr="00A65091">
        <w:rPr>
          <w:lang w:val="en-US"/>
        </w:rPr>
        <w:t>SC</w:t>
      </w:r>
      <w:r w:rsidR="00741D9B" w:rsidRPr="00A65091">
        <w:rPr>
          <w:lang w:val="en-US"/>
        </w:rPr>
        <w:t>)</w:t>
      </w:r>
      <w:r w:rsidRPr="00A65091">
        <w:rPr>
          <w:lang w:val="en-US"/>
        </w:rPr>
        <w:t>.</w:t>
      </w:r>
    </w:p>
    <w:p w:rsidR="001975D9" w:rsidRPr="00605800" w:rsidRDefault="001975D9" w:rsidP="000A657A">
      <w:pPr>
        <w:numPr>
          <w:ilvl w:val="0"/>
          <w:numId w:val="1"/>
        </w:numPr>
        <w:suppressAutoHyphens/>
        <w:spacing w:before="120" w:after="120" w:line="360" w:lineRule="auto"/>
        <w:jc w:val="both"/>
        <w:rPr>
          <w:lang w:val="en-US"/>
        </w:rPr>
      </w:pPr>
      <w:r w:rsidRPr="00A65091">
        <w:rPr>
          <w:lang w:val="en-US"/>
        </w:rPr>
        <w:t xml:space="preserve">In the </w:t>
      </w:r>
      <w:r w:rsidRPr="00A65091">
        <w:rPr>
          <w:u w:val="single"/>
          <w:lang w:val="en-US"/>
        </w:rPr>
        <w:t>second stage</w:t>
      </w:r>
      <w:r w:rsidRPr="00A65091">
        <w:rPr>
          <w:lang w:val="en-US"/>
        </w:rPr>
        <w:t xml:space="preserve">, the </w:t>
      </w:r>
      <w:r>
        <w:rPr>
          <w:lang w:val="en-US"/>
        </w:rPr>
        <w:t xml:space="preserve">SC </w:t>
      </w:r>
      <w:r w:rsidRPr="00A65091">
        <w:rPr>
          <w:lang w:val="en-US"/>
        </w:rPr>
        <w:t>evaluates the candidates according to the following criteria and according to the points mentioned below per criterion, drafting a temporary evaluation report:</w:t>
      </w:r>
    </w:p>
    <w:p w:rsidR="001975D9" w:rsidRPr="00605800" w:rsidRDefault="001975D9" w:rsidP="000A657A">
      <w:pPr>
        <w:spacing w:before="120" w:after="120" w:line="360" w:lineRule="auto"/>
        <w:ind w:left="360"/>
        <w:jc w:val="both"/>
        <w:rPr>
          <w:lang w:val="en-US"/>
        </w:rPr>
      </w:pPr>
      <w:r w:rsidRPr="00A65091">
        <w:rPr>
          <w:lang w:val="en-US"/>
        </w:rPr>
        <w:t>a) Grade average of the degree, adjusted to the ten-degree scale and subsequently multiplied by the coefficient of two and a half (2,5), with a maximum of twenty-five (25) points.</w:t>
      </w:r>
    </w:p>
    <w:p w:rsidR="001975D9" w:rsidRPr="00605800" w:rsidRDefault="001975D9" w:rsidP="000A657A">
      <w:pPr>
        <w:spacing w:before="120" w:after="120" w:line="360" w:lineRule="auto"/>
        <w:ind w:left="360"/>
        <w:jc w:val="both"/>
        <w:rPr>
          <w:lang w:val="en-US"/>
        </w:rPr>
      </w:pPr>
      <w:r w:rsidRPr="00A65091">
        <w:rPr>
          <w:lang w:val="en-US"/>
        </w:rPr>
        <w:t>b) Possession of another Master's degree: two (2) points.</w:t>
      </w:r>
    </w:p>
    <w:p w:rsidR="001975D9" w:rsidRPr="00605800" w:rsidRDefault="001975D9" w:rsidP="000A657A">
      <w:pPr>
        <w:spacing w:before="120" w:after="120" w:line="360" w:lineRule="auto"/>
        <w:ind w:left="360"/>
        <w:jc w:val="both"/>
        <w:rPr>
          <w:lang w:val="en-US"/>
        </w:rPr>
      </w:pPr>
      <w:r w:rsidRPr="00A65091">
        <w:rPr>
          <w:lang w:val="en-US"/>
        </w:rPr>
        <w:t>c) Possession of a Doctoral degree: three (3) points.</w:t>
      </w:r>
    </w:p>
    <w:p w:rsidR="001975D9" w:rsidRPr="00605800" w:rsidRDefault="001975D9" w:rsidP="000A657A">
      <w:pPr>
        <w:spacing w:before="120" w:after="120" w:line="360" w:lineRule="auto"/>
        <w:ind w:left="360"/>
        <w:jc w:val="both"/>
        <w:rPr>
          <w:lang w:val="en-US"/>
        </w:rPr>
      </w:pPr>
      <w:proofErr w:type="gramStart"/>
      <w:r w:rsidRPr="00A65091">
        <w:rPr>
          <w:lang w:val="en-US"/>
        </w:rPr>
        <w:t>d)</w:t>
      </w:r>
      <w:proofErr w:type="gramEnd"/>
      <w:r w:rsidRPr="00A65091">
        <w:rPr>
          <w:lang w:val="en-US"/>
        </w:rPr>
        <w:t>Very good knowledge (C1 level or above) of a second language (French or German or Italian or Spanish or Russian): one (1) point.</w:t>
      </w:r>
    </w:p>
    <w:p w:rsidR="001975D9" w:rsidRPr="00605800" w:rsidRDefault="001975D9" w:rsidP="000A657A">
      <w:pPr>
        <w:spacing w:before="120" w:after="120" w:line="360" w:lineRule="auto"/>
        <w:ind w:left="360"/>
        <w:jc w:val="both"/>
        <w:rPr>
          <w:lang w:val="en-US"/>
        </w:rPr>
      </w:pPr>
      <w:proofErr w:type="gramStart"/>
      <w:r w:rsidRPr="00A65091">
        <w:rPr>
          <w:lang w:val="en-US"/>
        </w:rPr>
        <w:t>e)</w:t>
      </w:r>
      <w:proofErr w:type="gramEnd"/>
      <w:r w:rsidRPr="00A65091">
        <w:rPr>
          <w:lang w:val="en-US"/>
        </w:rPr>
        <w:t>Very good knowledge (C1 level or above) of any third language (French or German or Italian or Spanish or Russian): one (1) point.</w:t>
      </w:r>
    </w:p>
    <w:p w:rsidR="001975D9" w:rsidRPr="00605800" w:rsidRDefault="001975D9" w:rsidP="000A657A">
      <w:pPr>
        <w:spacing w:before="120" w:after="120" w:line="360" w:lineRule="auto"/>
        <w:ind w:left="360"/>
        <w:jc w:val="both"/>
        <w:rPr>
          <w:lang w:val="en-US"/>
        </w:rPr>
      </w:pPr>
      <w:r w:rsidRPr="00A65091">
        <w:rPr>
          <w:lang w:val="en-US"/>
        </w:rPr>
        <w:t>f) Research or writing activity: up to three (3) points.</w:t>
      </w:r>
    </w:p>
    <w:p w:rsidR="001975D9" w:rsidRPr="00605800" w:rsidRDefault="001975D9" w:rsidP="000A657A">
      <w:pPr>
        <w:spacing w:before="120" w:after="120" w:line="360" w:lineRule="auto"/>
        <w:ind w:left="360"/>
        <w:jc w:val="both"/>
        <w:rPr>
          <w:lang w:val="en-US"/>
        </w:rPr>
      </w:pPr>
      <w:r w:rsidRPr="00A65091">
        <w:rPr>
          <w:lang w:val="en-US"/>
        </w:rPr>
        <w:t>g) Participation in student mobility training programs: one (1) point for each such participation and up to two (2) points in total.</w:t>
      </w:r>
    </w:p>
    <w:p w:rsidR="001975D9" w:rsidRPr="00605800" w:rsidRDefault="001975D9" w:rsidP="000A657A">
      <w:pPr>
        <w:spacing w:before="120" w:after="120" w:line="360" w:lineRule="auto"/>
        <w:ind w:left="360"/>
        <w:jc w:val="both"/>
        <w:rPr>
          <w:lang w:val="en-US"/>
        </w:rPr>
      </w:pPr>
      <w:r w:rsidRPr="00A65091">
        <w:rPr>
          <w:lang w:val="en-US"/>
        </w:rPr>
        <w:t>h) Legal or related professional experience: up to three (3) points, attributing one (1) point for every two years.</w:t>
      </w:r>
    </w:p>
    <w:p w:rsidR="001975D9" w:rsidRPr="00605800" w:rsidRDefault="001975D9" w:rsidP="000A657A">
      <w:pPr>
        <w:numPr>
          <w:ilvl w:val="0"/>
          <w:numId w:val="1"/>
        </w:numPr>
        <w:suppressAutoHyphens/>
        <w:spacing w:before="120" w:after="120" w:line="360" w:lineRule="auto"/>
        <w:jc w:val="both"/>
        <w:rPr>
          <w:lang w:val="en-US"/>
        </w:rPr>
      </w:pPr>
      <w:r w:rsidRPr="00A65091">
        <w:rPr>
          <w:lang w:val="en-US"/>
        </w:rPr>
        <w:t xml:space="preserve">The </w:t>
      </w:r>
      <w:r w:rsidRPr="00A65091">
        <w:rPr>
          <w:u w:val="single"/>
          <w:lang w:val="en-US"/>
        </w:rPr>
        <w:t>third stage</w:t>
      </w:r>
      <w:r w:rsidRPr="00A65091">
        <w:rPr>
          <w:lang w:val="en-US"/>
        </w:rPr>
        <w:t xml:space="preserve"> involves candidates who have accumulated, according to the temporary evaluation report, at least seventeen (17) points ('eligible candidates'). F</w:t>
      </w:r>
      <w:r w:rsidR="000A657A" w:rsidRPr="00A65091">
        <w:rPr>
          <w:lang w:val="en-US"/>
        </w:rPr>
        <w:t>or present</w:t>
      </w:r>
      <w:r w:rsidRPr="00A65091">
        <w:rPr>
          <w:lang w:val="en-US"/>
        </w:rPr>
        <w:t xml:space="preserve"> purposes, ‘foreigners’</w:t>
      </w:r>
      <w:r w:rsidR="00384F2D" w:rsidRPr="00A65091">
        <w:rPr>
          <w:lang w:val="en-US"/>
        </w:rPr>
        <w:t xml:space="preserve"> </w:t>
      </w:r>
      <w:r w:rsidRPr="00A65091">
        <w:rPr>
          <w:lang w:val="en-US"/>
        </w:rPr>
        <w:t>are defined as the candidates who, cumulatively, do not speak Greek as their native language and have not obtained a law degree in Greece or with a specialization in Greek</w:t>
      </w:r>
      <w:r w:rsidR="000A657A" w:rsidRPr="00A65091">
        <w:rPr>
          <w:lang w:val="en-US"/>
        </w:rPr>
        <w:t xml:space="preserve"> law. Greeks are defined for present</w:t>
      </w:r>
      <w:r w:rsidRPr="00A65091">
        <w:rPr>
          <w:lang w:val="en-US"/>
        </w:rPr>
        <w:t xml:space="preserve"> purposes as the candidates who are not foreign.</w:t>
      </w:r>
    </w:p>
    <w:p w:rsidR="001975D9" w:rsidRPr="00605800" w:rsidRDefault="001975D9" w:rsidP="000A657A">
      <w:pPr>
        <w:numPr>
          <w:ilvl w:val="0"/>
          <w:numId w:val="1"/>
        </w:numPr>
        <w:suppressAutoHyphens/>
        <w:spacing w:before="120" w:after="120" w:line="360" w:lineRule="auto"/>
        <w:ind w:left="357" w:hanging="357"/>
        <w:jc w:val="both"/>
        <w:rPr>
          <w:lang w:val="en-US"/>
        </w:rPr>
      </w:pPr>
      <w:r w:rsidRPr="00A65091">
        <w:rPr>
          <w:lang w:val="en-US"/>
        </w:rPr>
        <w:t xml:space="preserve">The third stage includes an oral interview, conducted in English. The interview shall be conducted by two members of the SC, who are designated by it, and may, by decision of the </w:t>
      </w:r>
      <w:r>
        <w:rPr>
          <w:lang w:val="en-US"/>
        </w:rPr>
        <w:t>SC</w:t>
      </w:r>
      <w:r w:rsidRPr="00A65091">
        <w:rPr>
          <w:lang w:val="en-US"/>
        </w:rPr>
        <w:t xml:space="preserve">, be conducted remotely by appropriate online means for candidates who declare to the </w:t>
      </w:r>
      <w:bookmarkStart w:id="1" w:name="_Hlk66565125"/>
      <w:r w:rsidRPr="00A65091">
        <w:rPr>
          <w:lang w:val="en-US"/>
        </w:rPr>
        <w:t>Program</w:t>
      </w:r>
      <w:bookmarkEnd w:id="1"/>
      <w:r w:rsidRPr="00A65091">
        <w:rPr>
          <w:lang w:val="en-US"/>
        </w:rPr>
        <w:t xml:space="preserve"> Registrar that they wish to do so. Applicants shall be invited to participate by the Program Registrar by any appropriate means, particularly via e-mail. Each SC member participating in the interview shall rate each candidate on a scale of zero (0) to ten (10), and the sum of the two grades shall be considered the final grade of the interview. Therefore, the interview receives a maximum of twenty (20) points. The </w:t>
      </w:r>
      <w:r>
        <w:rPr>
          <w:lang w:val="en-US"/>
        </w:rPr>
        <w:t>SC</w:t>
      </w:r>
      <w:r w:rsidRPr="00A65091">
        <w:rPr>
          <w:lang w:val="en-US"/>
        </w:rPr>
        <w:t xml:space="preserve"> may limit, proportionately for foreigners and Greeks, the number of candidates invited to an interview, in which case the participating interviewees are determined by descending order of point allocation in the temporary evaluation of the second stage.</w:t>
      </w:r>
    </w:p>
    <w:p w:rsidR="001975D9" w:rsidRPr="00605800" w:rsidRDefault="001975D9" w:rsidP="000A657A">
      <w:pPr>
        <w:numPr>
          <w:ilvl w:val="0"/>
          <w:numId w:val="1"/>
        </w:numPr>
        <w:suppressAutoHyphens/>
        <w:spacing w:before="120" w:after="120" w:line="360" w:lineRule="auto"/>
        <w:ind w:left="357" w:hanging="357"/>
        <w:jc w:val="both"/>
        <w:rPr>
          <w:lang w:val="en-US"/>
        </w:rPr>
      </w:pPr>
      <w:r w:rsidRPr="00A65091">
        <w:rPr>
          <w:u w:val="single"/>
          <w:lang w:val="en-US"/>
        </w:rPr>
        <w:t>Twenty (20) entry positions are allocated as a matter of priority to foreign candidates</w:t>
      </w:r>
      <w:r w:rsidRPr="00A65091">
        <w:rPr>
          <w:lang w:val="en-US"/>
        </w:rPr>
        <w:t xml:space="preserve"> (who do not speak Greek as their native language and have not obtained a law degree in Greece or with a specialization in Greek law) </w:t>
      </w:r>
      <w:r w:rsidRPr="00A65091">
        <w:rPr>
          <w:u w:val="single"/>
          <w:lang w:val="en-US"/>
        </w:rPr>
        <w:t>and the rest are available to foreign and Greek candidates indiscriminately</w:t>
      </w:r>
      <w:r w:rsidRPr="00A65091">
        <w:rPr>
          <w:lang w:val="en-US"/>
        </w:rPr>
        <w:t>.</w:t>
      </w:r>
    </w:p>
    <w:p w:rsidR="001975D9" w:rsidRPr="00A65091" w:rsidRDefault="001975D9" w:rsidP="000A657A">
      <w:pPr>
        <w:numPr>
          <w:ilvl w:val="0"/>
          <w:numId w:val="1"/>
        </w:numPr>
        <w:suppressAutoHyphens/>
        <w:spacing w:before="120" w:after="120" w:line="360" w:lineRule="auto"/>
        <w:ind w:left="357" w:hanging="357"/>
        <w:jc w:val="both"/>
        <w:rPr>
          <w:lang w:val="en-US"/>
        </w:rPr>
      </w:pPr>
      <w:r w:rsidRPr="00A65091">
        <w:rPr>
          <w:lang w:val="en-US"/>
        </w:rPr>
        <w:t xml:space="preserve">The </w:t>
      </w:r>
      <w:r>
        <w:rPr>
          <w:lang w:val="en-US"/>
        </w:rPr>
        <w:t>SC</w:t>
      </w:r>
      <w:r w:rsidRPr="00A65091">
        <w:rPr>
          <w:lang w:val="en-US"/>
        </w:rPr>
        <w:t xml:space="preserve"> shall draft a final scorecard of the candidates in descending order of performance, taking into account the preceding paragraph. In the event of a tie in the last place, a draw shall be made between the candidates before the SC.</w:t>
      </w:r>
    </w:p>
    <w:p w:rsidR="001975D9" w:rsidRPr="00A65091" w:rsidRDefault="001975D9" w:rsidP="000A657A">
      <w:pPr>
        <w:numPr>
          <w:ilvl w:val="0"/>
          <w:numId w:val="1"/>
        </w:numPr>
        <w:suppressAutoHyphens/>
        <w:spacing w:before="120" w:after="120" w:line="360" w:lineRule="auto"/>
        <w:ind w:left="357" w:hanging="357"/>
        <w:jc w:val="both"/>
        <w:rPr>
          <w:lang w:val="en-US" w:eastAsia="en-US"/>
        </w:rPr>
      </w:pPr>
      <w:r w:rsidRPr="00A65091">
        <w:rPr>
          <w:lang w:val="en-US" w:eastAsia="en-US"/>
        </w:rPr>
        <w:t xml:space="preserve">Successful candidates shall </w:t>
      </w:r>
      <w:r w:rsidRPr="00A65091">
        <w:rPr>
          <w:lang w:val="en-US"/>
        </w:rPr>
        <w:t xml:space="preserve">be informed by the Program Registrar by any appropriate means, in particular by e-mail, and shall be invited to reply in the same manner within three </w:t>
      </w:r>
      <w:r w:rsidRPr="00A65091">
        <w:rPr>
          <w:lang w:val="en-US" w:eastAsia="en-US"/>
        </w:rPr>
        <w:t xml:space="preserve">(3) </w:t>
      </w:r>
      <w:r w:rsidRPr="00A65091">
        <w:rPr>
          <w:lang w:val="en-US"/>
        </w:rPr>
        <w:t xml:space="preserve">days on whether they accept their inclusion in the Program and its operating </w:t>
      </w:r>
      <w:r w:rsidRPr="00A65091">
        <w:rPr>
          <w:lang w:val="en-US" w:eastAsia="en-US"/>
        </w:rPr>
        <w:t xml:space="preserve">conditions. A non-timely response on behalf of a selected candidate is tantamount to a refusal. If there are refusals, the </w:t>
      </w:r>
      <w:bookmarkStart w:id="2" w:name="_Hlk66566530"/>
      <w:r w:rsidRPr="00A65091">
        <w:rPr>
          <w:lang w:val="en-US" w:eastAsia="en-US"/>
        </w:rPr>
        <w:t>Program</w:t>
      </w:r>
      <w:bookmarkEnd w:id="2"/>
      <w:r w:rsidRPr="00A65091">
        <w:rPr>
          <w:lang w:val="en-US" w:eastAsia="en-US"/>
        </w:rPr>
        <w:t xml:space="preserve"> Registrar shall inform those immediately following in the evaluation order from the scorecard.</w:t>
      </w:r>
    </w:p>
    <w:p w:rsidR="006D2455" w:rsidRPr="00A65091" w:rsidRDefault="006D2455" w:rsidP="000A657A">
      <w:pPr>
        <w:suppressAutoHyphens/>
        <w:spacing w:before="120" w:after="120" w:line="360" w:lineRule="auto"/>
        <w:jc w:val="both"/>
        <w:rPr>
          <w:lang w:val="en-US" w:eastAsia="en-US"/>
        </w:rPr>
      </w:pPr>
    </w:p>
    <w:p w:rsidR="006D2455" w:rsidRPr="00A65091" w:rsidRDefault="006D2455" w:rsidP="000A657A">
      <w:pPr>
        <w:suppressAutoHyphens/>
        <w:spacing w:before="120" w:after="120" w:line="360" w:lineRule="auto"/>
        <w:jc w:val="both"/>
        <w:rPr>
          <w:b/>
          <w:lang w:val="en-US" w:eastAsia="en-US"/>
        </w:rPr>
      </w:pPr>
      <w:r w:rsidRPr="00A65091">
        <w:rPr>
          <w:b/>
          <w:lang w:val="en-US" w:eastAsia="en-US"/>
        </w:rPr>
        <w:t>Contact information</w:t>
      </w:r>
    </w:p>
    <w:p w:rsidR="00A97B38" w:rsidRPr="00605800" w:rsidRDefault="006D2455" w:rsidP="00741D9B">
      <w:pPr>
        <w:suppressAutoHyphens/>
        <w:spacing w:before="120" w:after="120" w:line="360" w:lineRule="auto"/>
        <w:jc w:val="both"/>
        <w:rPr>
          <w:lang w:val="en-US"/>
        </w:rPr>
      </w:pPr>
      <w:r w:rsidRPr="00A65091">
        <w:rPr>
          <w:lang w:val="en-US" w:eastAsia="en-US"/>
        </w:rPr>
        <w:t xml:space="preserve">Queries relating to this call for applications or the </w:t>
      </w:r>
      <w:proofErr w:type="spellStart"/>
      <w:r w:rsidRPr="00A65091">
        <w:rPr>
          <w:lang w:val="en-US" w:eastAsia="en-US"/>
        </w:rPr>
        <w:t>programme</w:t>
      </w:r>
      <w:proofErr w:type="spellEnd"/>
      <w:r w:rsidRPr="00A65091">
        <w:rPr>
          <w:lang w:val="en-US" w:eastAsia="en-US"/>
        </w:rPr>
        <w:t xml:space="preserve"> may be sent at: </w:t>
      </w:r>
      <w:r w:rsidR="00176978" w:rsidRPr="00176978">
        <w:rPr>
          <w:rFonts w:ascii="Arial" w:hAnsi="Arial" w:cs="Arial"/>
          <w:color w:val="000000"/>
          <w:sz w:val="21"/>
          <w:szCs w:val="21"/>
          <w:shd w:val="clear" w:color="auto" w:fill="F1F1F1"/>
          <w:lang w:val="en-US"/>
        </w:rPr>
        <w:t> </w:t>
      </w:r>
      <w:r w:rsidR="00176978" w:rsidRPr="00176978">
        <w:rPr>
          <w:color w:val="000000"/>
          <w:shd w:val="clear" w:color="auto" w:fill="F1F1F1"/>
          <w:lang w:val="en-US"/>
        </w:rPr>
        <w:t>dtournas@law.auth.gr</w:t>
      </w:r>
      <w:r w:rsidR="00176978" w:rsidRPr="00176978">
        <w:rPr>
          <w:color w:val="000000"/>
          <w:shd w:val="clear" w:color="auto" w:fill="F1F1F1"/>
          <w:lang w:val="en-US"/>
        </w:rPr>
        <w:t>.</w:t>
      </w:r>
    </w:p>
    <w:p w:rsidR="00A97B38" w:rsidRPr="00EC7BDF" w:rsidRDefault="00A97B38" w:rsidP="000A657A">
      <w:pPr>
        <w:spacing w:line="360" w:lineRule="auto"/>
        <w:jc w:val="both"/>
        <w:rPr>
          <w:lang w:val="en-GB"/>
        </w:rPr>
      </w:pPr>
    </w:p>
    <w:sectPr w:rsidR="00A97B38" w:rsidRPr="00EC7BDF" w:rsidSect="00E95BF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EF" w:rsidRDefault="003958EF" w:rsidP="000A657A">
      <w:r>
        <w:separator/>
      </w:r>
    </w:p>
  </w:endnote>
  <w:endnote w:type="continuationSeparator" w:id="0">
    <w:p w:rsidR="003958EF" w:rsidRDefault="003958EF" w:rsidP="000A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Lucida Grande">
    <w:charset w:val="55"/>
    <w:family w:val="auto"/>
    <w:pitch w:val="variable"/>
    <w:sig w:usb0="E1000AEF" w:usb1="5000A1FF" w:usb2="00000000" w:usb3="00000000" w:csb0="000001B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4E" w:rsidRDefault="004D7751" w:rsidP="000A657A">
    <w:pPr>
      <w:pStyle w:val="a4"/>
      <w:framePr w:wrap="around" w:vAnchor="text" w:hAnchor="margin" w:xAlign="right" w:y="1"/>
      <w:rPr>
        <w:rStyle w:val="a5"/>
      </w:rPr>
    </w:pPr>
    <w:r>
      <w:rPr>
        <w:rStyle w:val="a5"/>
      </w:rPr>
      <w:fldChar w:fldCharType="begin"/>
    </w:r>
    <w:r w:rsidR="00B11C4E">
      <w:rPr>
        <w:rStyle w:val="a5"/>
      </w:rPr>
      <w:instrText xml:space="preserve">PAGE  </w:instrText>
    </w:r>
    <w:r>
      <w:rPr>
        <w:rStyle w:val="a5"/>
      </w:rPr>
      <w:fldChar w:fldCharType="end"/>
    </w:r>
  </w:p>
  <w:p w:rsidR="00B11C4E" w:rsidRDefault="00B11C4E" w:rsidP="000A65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4E" w:rsidRDefault="004D7751" w:rsidP="000A657A">
    <w:pPr>
      <w:pStyle w:val="a4"/>
      <w:framePr w:wrap="around" w:vAnchor="text" w:hAnchor="margin" w:xAlign="right" w:y="1"/>
      <w:rPr>
        <w:rStyle w:val="a5"/>
      </w:rPr>
    </w:pPr>
    <w:r>
      <w:rPr>
        <w:rStyle w:val="a5"/>
      </w:rPr>
      <w:fldChar w:fldCharType="begin"/>
    </w:r>
    <w:r w:rsidR="00B11C4E">
      <w:rPr>
        <w:rStyle w:val="a5"/>
      </w:rPr>
      <w:instrText xml:space="preserve">PAGE  </w:instrText>
    </w:r>
    <w:r>
      <w:rPr>
        <w:rStyle w:val="a5"/>
      </w:rPr>
      <w:fldChar w:fldCharType="separate"/>
    </w:r>
    <w:r w:rsidR="00176978">
      <w:rPr>
        <w:rStyle w:val="a5"/>
        <w:noProof/>
      </w:rPr>
      <w:t>6</w:t>
    </w:r>
    <w:r>
      <w:rPr>
        <w:rStyle w:val="a5"/>
      </w:rPr>
      <w:fldChar w:fldCharType="end"/>
    </w:r>
  </w:p>
  <w:p w:rsidR="00B11C4E" w:rsidRDefault="00B11C4E" w:rsidP="000A657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EF" w:rsidRDefault="003958EF" w:rsidP="000A657A">
      <w:r>
        <w:separator/>
      </w:r>
    </w:p>
  </w:footnote>
  <w:footnote w:type="continuationSeparator" w:id="0">
    <w:p w:rsidR="003958EF" w:rsidRDefault="003958EF" w:rsidP="000A6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8278A"/>
    <w:multiLevelType w:val="hybridMultilevel"/>
    <w:tmpl w:val="4A446DF0"/>
    <w:lvl w:ilvl="0" w:tplc="DCA8D99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2B"/>
    <w:rsid w:val="0007222B"/>
    <w:rsid w:val="000A657A"/>
    <w:rsid w:val="00176978"/>
    <w:rsid w:val="001975D9"/>
    <w:rsid w:val="002F5B51"/>
    <w:rsid w:val="00384F2D"/>
    <w:rsid w:val="003958EF"/>
    <w:rsid w:val="003D260E"/>
    <w:rsid w:val="004D7751"/>
    <w:rsid w:val="006D2455"/>
    <w:rsid w:val="00741D9B"/>
    <w:rsid w:val="00A65091"/>
    <w:rsid w:val="00A97B38"/>
    <w:rsid w:val="00B11C4E"/>
    <w:rsid w:val="00C65528"/>
    <w:rsid w:val="00DE71DA"/>
    <w:rsid w:val="00E95BFF"/>
    <w:rsid w:val="00EA4FC5"/>
    <w:rsid w:val="00EC7BDF"/>
    <w:rsid w:val="00F23FE2"/>
    <w:rsid w:val="00FE3F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4703E-3359-478F-9C75-7EAEE735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2B"/>
    <w:rPr>
      <w:rFonts w:eastAsia="Times New Roman"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07222B"/>
    <w:rPr>
      <w:rFonts w:ascii="Lucida Grande" w:hAnsi="Lucida Grande" w:cs="Lucida Grande"/>
      <w:sz w:val="18"/>
      <w:szCs w:val="18"/>
    </w:rPr>
  </w:style>
  <w:style w:type="character" w:customStyle="1" w:styleId="BalloonTextChar">
    <w:name w:val="Balloon Text Char"/>
    <w:basedOn w:val="a0"/>
    <w:link w:val="a3"/>
    <w:uiPriority w:val="99"/>
    <w:semiHidden/>
    <w:rsid w:val="0007222B"/>
    <w:rPr>
      <w:rFonts w:ascii="Lucida Grande" w:eastAsia="Times New Roman" w:hAnsi="Lucida Grande" w:cs="Lucida Grande"/>
      <w:sz w:val="18"/>
      <w:szCs w:val="18"/>
      <w:lang w:val="el-GR" w:eastAsia="el-GR"/>
    </w:rPr>
  </w:style>
  <w:style w:type="character" w:styleId="-">
    <w:name w:val="Hyperlink"/>
    <w:basedOn w:val="a0"/>
    <w:uiPriority w:val="99"/>
    <w:unhideWhenUsed/>
    <w:rsid w:val="00F23FE2"/>
    <w:rPr>
      <w:color w:val="0000FF" w:themeColor="hyperlink"/>
      <w:u w:val="single"/>
    </w:rPr>
  </w:style>
  <w:style w:type="paragraph" w:styleId="a4">
    <w:name w:val="footer"/>
    <w:basedOn w:val="a"/>
    <w:link w:val="FooterChar"/>
    <w:uiPriority w:val="99"/>
    <w:unhideWhenUsed/>
    <w:rsid w:val="000A657A"/>
    <w:pPr>
      <w:tabs>
        <w:tab w:val="center" w:pos="4153"/>
        <w:tab w:val="right" w:pos="8306"/>
      </w:tabs>
    </w:pPr>
  </w:style>
  <w:style w:type="character" w:customStyle="1" w:styleId="FooterChar">
    <w:name w:val="Footer Char"/>
    <w:basedOn w:val="a0"/>
    <w:link w:val="a4"/>
    <w:uiPriority w:val="99"/>
    <w:rsid w:val="000A657A"/>
    <w:rPr>
      <w:rFonts w:eastAsia="Times New Roman" w:cs="Times New Roman"/>
      <w:lang w:val="el-GR" w:eastAsia="el-GR"/>
    </w:rPr>
  </w:style>
  <w:style w:type="character" w:styleId="a5">
    <w:name w:val="page number"/>
    <w:basedOn w:val="a0"/>
    <w:uiPriority w:val="99"/>
    <w:semiHidden/>
    <w:unhideWhenUsed/>
    <w:rsid w:val="000A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anbusiness.law.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tournas@law.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1572</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PSAROUDAKIS</dc:creator>
  <cp:lastModifiedBy>Χρήστης των Windows</cp:lastModifiedBy>
  <cp:revision>3</cp:revision>
  <dcterms:created xsi:type="dcterms:W3CDTF">2021-04-27T09:08:00Z</dcterms:created>
  <dcterms:modified xsi:type="dcterms:W3CDTF">2021-04-27T09:12:00Z</dcterms:modified>
</cp:coreProperties>
</file>